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BC7808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</w:t>
            </w:r>
            <w:r w:rsidR="00F64A57">
              <w:rPr>
                <w:rFonts w:eastAsia="Times New Roman"/>
                <w:b/>
              </w:rPr>
              <w:t xml:space="preserve">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BC7808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60025B">
        <w:rPr>
          <w:b/>
        </w:rPr>
        <w:t>теплообменников пластинчатых разборных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60025B" w:rsidRPr="0060025B">
        <w:t>теплообменников пластинчатых разборных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60025B" w:rsidP="0060025B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BC7808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8-902-814-54-37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60025B" w:rsidRPr="0060025B">
              <w:t>теплообменников пластинчатых разборных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60025B" w:rsidRPr="007A6137" w:rsidRDefault="0060025B" w:rsidP="0060025B">
            <w:pPr>
              <w:pStyle w:val="a1"/>
              <w:spacing w:before="0" w:line="240" w:lineRule="auto"/>
            </w:pPr>
            <w:r>
              <w:t>Наименование и</w:t>
            </w:r>
            <w:r w:rsidRPr="00287DCF">
              <w:t xml:space="preserve"> количество поставляемого Товара</w:t>
            </w:r>
            <w:r>
              <w:t>:</w:t>
            </w:r>
          </w:p>
          <w:p w:rsidR="0060025B" w:rsidRDefault="0060025B" w:rsidP="0060025B">
            <w:pPr>
              <w:ind w:firstLine="709"/>
            </w:pPr>
            <w:r>
              <w:rPr>
                <w:iCs/>
              </w:rPr>
              <w:t>Теплообменники пластинчатые</w:t>
            </w:r>
            <w:r>
              <w:t xml:space="preserve"> разборные </w:t>
            </w:r>
            <w:r w:rsidRPr="00161AAB">
              <w:t>(далее – Товар):</w:t>
            </w:r>
          </w:p>
          <w:p w:rsidR="0060025B" w:rsidRDefault="0060025B" w:rsidP="0060025B">
            <w:pPr>
              <w:ind w:firstLine="709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5436"/>
              <w:gridCol w:w="960"/>
              <w:gridCol w:w="1169"/>
            </w:tblGrid>
            <w:tr w:rsidR="0060025B" w:rsidRPr="00165CC1" w:rsidTr="00070F27">
              <w:trPr>
                <w:trHeight w:val="443"/>
              </w:trPr>
              <w:tc>
                <w:tcPr>
                  <w:tcW w:w="328" w:type="pct"/>
                  <w:vAlign w:val="center"/>
                </w:tcPr>
                <w:p w:rsidR="0060025B" w:rsidRPr="003A76BC" w:rsidRDefault="0060025B" w:rsidP="0060025B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 xml:space="preserve">№ </w:t>
                  </w:r>
                </w:p>
              </w:tc>
              <w:tc>
                <w:tcPr>
                  <w:tcW w:w="3357" w:type="pct"/>
                  <w:vAlign w:val="center"/>
                </w:tcPr>
                <w:p w:rsidR="0060025B" w:rsidRPr="003A76BC" w:rsidRDefault="0060025B" w:rsidP="0060025B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93" w:type="pct"/>
                  <w:vAlign w:val="center"/>
                </w:tcPr>
                <w:p w:rsidR="0060025B" w:rsidRPr="003A76BC" w:rsidRDefault="0060025B" w:rsidP="0060025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722" w:type="pct"/>
                  <w:vAlign w:val="center"/>
                </w:tcPr>
                <w:p w:rsidR="0060025B" w:rsidRPr="003A76BC" w:rsidRDefault="0060025B" w:rsidP="0060025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60025B" w:rsidRPr="00165CC1" w:rsidTr="00070F27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  <w:bookmarkStart w:id="1" w:name="_Hlk436814683"/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0025B" w:rsidRPr="00165CC1" w:rsidRDefault="0060025B" w:rsidP="0060025B">
                  <w:r w:rsidRPr="00165CC1">
                    <w:t>Теплообменник</w:t>
                  </w:r>
                  <w:r>
                    <w:t xml:space="preserve"> пластинчатый ГВС 2,275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0025B" w:rsidRPr="00165CC1" w:rsidRDefault="0060025B" w:rsidP="0060025B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0025B" w:rsidRPr="00165CC1" w:rsidTr="00070F27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0025B" w:rsidRPr="00165CC1" w:rsidRDefault="0060025B" w:rsidP="0060025B">
                  <w:r w:rsidRPr="00165CC1">
                    <w:t xml:space="preserve">Теплообменник </w:t>
                  </w:r>
                  <w:r w:rsidRPr="003A76BC">
                    <w:t>пластинчатый</w:t>
                  </w:r>
                  <w:r>
                    <w:t xml:space="preserve"> контура отопления 0,5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C0C0C0" w:fill="FFFFFF"/>
                  <w:vAlign w:val="center"/>
                </w:tcPr>
                <w:p w:rsidR="0060025B" w:rsidRPr="00165CC1" w:rsidRDefault="0060025B" w:rsidP="0060025B">
                  <w:pPr>
                    <w:ind w:hanging="109"/>
                    <w:jc w:val="center"/>
                  </w:pPr>
                  <w:r>
                    <w:t>5</w:t>
                  </w:r>
                </w:p>
              </w:tc>
            </w:tr>
            <w:tr w:rsidR="0060025B" w:rsidRPr="00165CC1" w:rsidTr="00070F27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0025B" w:rsidRPr="00165CC1" w:rsidRDefault="0060025B" w:rsidP="0060025B">
                  <w:r w:rsidRPr="00165CC1">
                    <w:t xml:space="preserve">Теплообменник </w:t>
                  </w:r>
                  <w:r w:rsidRPr="003A76BC">
                    <w:t>пластинчатый контура отопления</w:t>
                  </w:r>
                  <w:r>
                    <w:t xml:space="preserve"> 6 МВт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0025B" w:rsidRPr="00165CC1" w:rsidRDefault="0060025B" w:rsidP="0060025B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0025B" w:rsidRPr="00165CC1" w:rsidTr="00070F27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0025B" w:rsidRPr="00165CC1" w:rsidRDefault="0060025B" w:rsidP="0060025B">
                  <w:r w:rsidRPr="00C974C8">
                    <w:t xml:space="preserve">Теплообменник пластинчатый ГВС </w:t>
                  </w:r>
                  <w:r>
                    <w:t>2,975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0025B" w:rsidRPr="00165CC1" w:rsidRDefault="0060025B" w:rsidP="0060025B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0025B" w:rsidRPr="00165CC1" w:rsidTr="00070F27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60025B" w:rsidRPr="00165CC1" w:rsidRDefault="0060025B" w:rsidP="0060025B">
                  <w:r w:rsidRPr="007C379D">
                    <w:t xml:space="preserve">Теплообменник пластинчатый контура отопления </w:t>
                  </w:r>
                  <w:r>
                    <w:t>6</w:t>
                  </w:r>
                  <w:r w:rsidRPr="007C379D">
                    <w:t xml:space="preserve"> Гкал/</w:t>
                  </w:r>
                  <w:proofErr w:type="gramStart"/>
                  <w:r w:rsidRPr="007C379D">
                    <w:t>ч</w:t>
                  </w:r>
                  <w:proofErr w:type="gramEnd"/>
                </w:p>
              </w:tc>
              <w:tc>
                <w:tcPr>
                  <w:tcW w:w="593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025B" w:rsidRPr="00165CC1" w:rsidRDefault="0060025B" w:rsidP="0060025B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0025B" w:rsidRPr="00165CC1" w:rsidRDefault="0060025B" w:rsidP="0060025B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</w:tbl>
          <w:bookmarkEnd w:id="1"/>
          <w:p w:rsidR="0060025B" w:rsidRPr="00B31BDA" w:rsidRDefault="0060025B" w:rsidP="0060025B">
            <w:pPr>
              <w:numPr>
                <w:ilvl w:val="1"/>
                <w:numId w:val="0"/>
              </w:numPr>
              <w:ind w:firstLine="709"/>
              <w:rPr>
                <w:b/>
              </w:rPr>
            </w:pPr>
            <w:r w:rsidRPr="00B31BDA">
              <w:rPr>
                <w:b/>
              </w:rPr>
              <w:t>1.2. требования к техническим и функциональным характеристикам (потребительским свойствам) Товара, к качеству, безопасности Товара, к размерам, упаковке, отгрузке Товара</w:t>
            </w:r>
            <w:r>
              <w:rPr>
                <w:b/>
              </w:rPr>
              <w:t>:</w:t>
            </w:r>
          </w:p>
          <w:p w:rsidR="0060025B" w:rsidRPr="00A87FC7" w:rsidRDefault="00227BD2" w:rsidP="0060025B">
            <w:pPr>
              <w:rPr>
                <w:b/>
              </w:rPr>
            </w:pPr>
            <w:r w:rsidRPr="001D7B61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="0060025B" w:rsidRPr="00A87FC7">
              <w:rPr>
                <w:b/>
              </w:rPr>
              <w:t>Требование к качеству и безопасности поставляемого Товара: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>Каждый теплообменник должен иметь табличку из полированной нержавеющей стали, закреплённую на основной плите теплообменника, с выполненной рельефным способом маркировкой, табличка должна содержать следующие данные: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и товарный знак предприятия - изготовителя;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«Теплообменник» и тип теплообменника;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рабочее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давление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максимальную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рабочую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температуру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теплоносителя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заводской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номер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дату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изготовления</w:t>
            </w:r>
            <w:proofErr w:type="spellEnd"/>
            <w:r w:rsidRPr="00BF4606">
              <w:rPr>
                <w:lang w:val="en-US"/>
              </w:rPr>
              <w:t xml:space="preserve"> (</w:t>
            </w:r>
            <w:proofErr w:type="spellStart"/>
            <w:r w:rsidRPr="00BF4606">
              <w:rPr>
                <w:lang w:val="en-US"/>
              </w:rPr>
              <w:t>год</w:t>
            </w:r>
            <w:proofErr w:type="spellEnd"/>
            <w:r w:rsidRPr="00BF4606">
              <w:rPr>
                <w:lang w:val="en-US"/>
              </w:rPr>
              <w:t>).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 xml:space="preserve">Поставляемый Товар должен быть новый, не бывший в эксплуатации. 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 xml:space="preserve">Качество и безопасность поставляемого Товара должны соответствовать всем требованиям, установленным действующим законодательством Российской Федерации к такого рода товарам, в том числе требованиям </w:t>
            </w:r>
            <w:proofErr w:type="gramStart"/>
            <w:r w:rsidRPr="00BF4606">
              <w:t>ТР</w:t>
            </w:r>
            <w:proofErr w:type="gramEnd"/>
            <w:r w:rsidRPr="00BF4606">
              <w:t xml:space="preserve"> ТС 010/2011, ГОСТ 12.2.003-91, ГОСТ 15518-87</w:t>
            </w:r>
            <w:r>
              <w:t>,</w:t>
            </w:r>
            <w:r w:rsidRPr="00BF4606">
              <w:t xml:space="preserve"> а также требованиям настоящего технического задания.</w:t>
            </w:r>
          </w:p>
          <w:p w:rsidR="0060025B" w:rsidRPr="00165CC1" w:rsidRDefault="0060025B" w:rsidP="0060025B">
            <w:pPr>
              <w:tabs>
                <w:tab w:val="left" w:pos="142"/>
              </w:tabs>
              <w:ind w:firstLine="709"/>
              <w:rPr>
                <w:color w:val="000000"/>
                <w:kern w:val="2"/>
              </w:rPr>
            </w:pPr>
            <w:r w:rsidRPr="00165CC1">
              <w:rPr>
                <w:color w:val="000000"/>
                <w:kern w:val="2"/>
              </w:rPr>
              <w:t>Дата изготовления (производства) Товара не должна быть ранее 20</w:t>
            </w:r>
            <w:r>
              <w:rPr>
                <w:color w:val="000000"/>
                <w:kern w:val="2"/>
              </w:rPr>
              <w:t>25</w:t>
            </w:r>
            <w:r w:rsidRPr="00165CC1">
              <w:rPr>
                <w:color w:val="000000"/>
                <w:kern w:val="2"/>
              </w:rPr>
              <w:t xml:space="preserve"> года, что подтверждается паспортами заводов-изготовителей.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 xml:space="preserve">Качество и безопасность Товара должна подтверждаться паспортом качества, сертификатом соответствия или его заверенной копией, </w:t>
            </w:r>
            <w:proofErr w:type="gramStart"/>
            <w:r w:rsidRPr="00BF4606">
              <w:t>обязательными</w:t>
            </w:r>
            <w:proofErr w:type="gramEnd"/>
            <w:r w:rsidRPr="00BF4606">
              <w:t xml:space="preserve"> для данного вида товаров и оформленными в соответствии с действующим российским законодательством.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>Товар должен сопровождаться документами на русском языке на бумажном носителе (или их заверенными копиями):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ind w:left="0" w:firstLine="0"/>
            </w:pPr>
            <w:r>
              <w:t xml:space="preserve">- </w:t>
            </w:r>
            <w:r w:rsidRPr="00BF4606">
              <w:t>паспорт</w:t>
            </w:r>
            <w:r>
              <w:t>ом</w:t>
            </w:r>
            <w:r w:rsidRPr="00BF4606">
              <w:t xml:space="preserve"> с расчётным листом и чертежом теплообм</w:t>
            </w:r>
            <w:r>
              <w:t xml:space="preserve">енника и с отметкой ОТК (отдела </w:t>
            </w:r>
            <w:r w:rsidRPr="00BF4606">
              <w:t>технического контроля) предприятия-изготовителя;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сертификат</w:t>
            </w:r>
            <w:r>
              <w:t>ом</w:t>
            </w:r>
            <w:r w:rsidRPr="00BF4606">
              <w:t xml:space="preserve"> соответствия или его заверенн</w:t>
            </w:r>
            <w:r>
              <w:t>ой копией</w:t>
            </w:r>
            <w:r w:rsidRPr="00BF4606">
              <w:t>;</w:t>
            </w:r>
          </w:p>
          <w:p w:rsidR="0060025B" w:rsidRPr="00BF4606" w:rsidRDefault="0060025B" w:rsidP="0060025B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руководство</w:t>
            </w:r>
            <w:proofErr w:type="spellEnd"/>
            <w:r>
              <w:t>м</w:t>
            </w:r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по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эксплуатации</w:t>
            </w:r>
            <w:proofErr w:type="spellEnd"/>
            <w:r w:rsidRPr="00BF4606">
              <w:rPr>
                <w:lang w:val="en-US"/>
              </w:rPr>
              <w:t>.</w:t>
            </w:r>
          </w:p>
          <w:p w:rsidR="0060025B" w:rsidRPr="007A6137" w:rsidRDefault="0060025B" w:rsidP="0060025B">
            <w:pPr>
              <w:ind w:firstLine="709"/>
              <w:rPr>
                <w:b/>
              </w:rPr>
            </w:pPr>
            <w:r w:rsidRPr="007A6137">
              <w:rPr>
                <w:rFonts w:eastAsia="SimSun"/>
                <w:b/>
              </w:rPr>
              <w:t>Требования к упаковке, отгрузке Товара: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>Упаковка теплообменников должна соответствовать требованиям ГОСТ 9.014-78 и обеспечивать их полную сохранность от повреждения при выполнении погрузо-разгрузочных работ, транспортировании и хранении. Элементы теплообменников во внутренней упаковке закреплены внутри тары для исключения их взаимного перемещения.</w:t>
            </w:r>
          </w:p>
          <w:p w:rsidR="0060025B" w:rsidRPr="00BF4606" w:rsidRDefault="0060025B" w:rsidP="0060025B">
            <w:pPr>
              <w:ind w:firstLine="709"/>
            </w:pPr>
            <w:r w:rsidRPr="00BF4606">
              <w:t xml:space="preserve">Транспортирование теплообменников (транспортных блоков) допускается всеми видами транспорта, в соответствии с Правилами перевозок, действующими на данном виде транспорта. </w:t>
            </w:r>
          </w:p>
          <w:p w:rsidR="00227BD2" w:rsidRPr="0060025B" w:rsidRDefault="0060025B" w:rsidP="0060025B">
            <w:pPr>
              <w:ind w:firstLine="709"/>
            </w:pPr>
            <w:r w:rsidRPr="00BF4606">
              <w:rPr>
                <w:i/>
              </w:rPr>
              <w:t>Прилагаемая документация на Товар должна быть уложена в пакеты из полиэтиленовой плёнки.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60025B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60025B">
              <w:rPr>
                <w:u w:val="single"/>
              </w:rPr>
              <w:t>10 769 000</w:t>
            </w:r>
            <w:r w:rsidR="00371C33" w:rsidRPr="00BC7808">
              <w:rPr>
                <w:u w:val="single"/>
              </w:rPr>
              <w:t xml:space="preserve"> (</w:t>
            </w:r>
            <w:r w:rsidR="0060025B">
              <w:rPr>
                <w:u w:val="single"/>
              </w:rPr>
              <w:t>десять миллионов семьсот шестьдесят девять тысяч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00</w:t>
            </w:r>
            <w:r w:rsidR="00371C33" w:rsidRPr="00BC7808">
              <w:rPr>
                <w:u w:val="single"/>
              </w:rPr>
              <w:t xml:space="preserve"> копе</w:t>
            </w:r>
            <w:r w:rsidR="00BC7808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60025B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0025B">
              <w:rPr>
                <w:iCs/>
              </w:rPr>
              <w:t>11</w:t>
            </w:r>
            <w:r w:rsidRPr="00621FE2">
              <w:rPr>
                <w:iCs/>
              </w:rPr>
              <w:t xml:space="preserve">» </w:t>
            </w:r>
            <w:r w:rsidR="00227BD2">
              <w:rPr>
                <w:iCs/>
              </w:rPr>
              <w:t>марта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60025B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60025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0025B">
              <w:rPr>
                <w:iCs/>
              </w:rPr>
              <w:t>11</w:t>
            </w:r>
            <w:r w:rsidRPr="00621FE2">
              <w:rPr>
                <w:iCs/>
              </w:rPr>
              <w:t xml:space="preserve">» </w:t>
            </w:r>
            <w:r w:rsidR="00227BD2">
              <w:rPr>
                <w:iCs/>
              </w:rPr>
              <w:t>марта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60025B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</w:t>
            </w:r>
            <w:r w:rsidRPr="00BC7808">
              <w:rPr>
                <w:b/>
                <w:bCs/>
              </w:rPr>
              <w:lastRenderedPageBreak/>
              <w:t>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0025B">
              <w:t>12</w:t>
            </w:r>
            <w:r w:rsidR="000200A5" w:rsidRPr="00621FE2">
              <w:t xml:space="preserve">» </w:t>
            </w:r>
            <w:r w:rsidR="00227BD2">
              <w:t>марта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0025B">
              <w:t>9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227BD2">
              <w:t>1</w:t>
            </w:r>
            <w:r w:rsidR="0060025B">
              <w:t>3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марта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0025B">
              <w:t>9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227BD2">
              <w:t>1</w:t>
            </w:r>
            <w:r w:rsidR="0060025B">
              <w:t>4</w:t>
            </w:r>
            <w:r w:rsidRPr="00621FE2">
              <w:t xml:space="preserve">» </w:t>
            </w:r>
            <w:r w:rsidR="00227BD2">
              <w:t>марта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60025B">
              <w:t>9</w:t>
            </w:r>
            <w:r w:rsidRPr="00621FE2">
              <w:t>:</w:t>
            </w:r>
            <w:r w:rsidR="00227BD2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</w:t>
            </w:r>
            <w:r w:rsidR="00DE2D0D" w:rsidRPr="00621FE2">
              <w:lastRenderedPageBreak/>
              <w:t xml:space="preserve">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60025B" w:rsidRPr="0060025B">
              <w:t>теплообменников пластинчатых разборных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0025B">
              <w:rPr>
                <w:bCs/>
                <w:color w:val="000000"/>
              </w:rPr>
              <w:t>11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марта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60025B">
              <w:rPr>
                <w:bCs/>
                <w:color w:val="000000"/>
              </w:rPr>
              <w:t>9</w:t>
            </w:r>
            <w:bookmarkStart w:id="2" w:name="_GoBack"/>
            <w:bookmarkEnd w:id="2"/>
            <w:r w:rsidRPr="00621FE2">
              <w:rPr>
                <w:bCs/>
                <w:color w:val="000000"/>
              </w:rPr>
              <w:t>:</w:t>
            </w:r>
            <w:r w:rsidR="00227BD2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227BD2" w:rsidRPr="00171525" w:rsidRDefault="00227BD2" w:rsidP="00227BD2">
            <w:pPr>
              <w:pStyle w:val="Default"/>
              <w:rPr>
                <w:bCs/>
              </w:rPr>
            </w:pPr>
            <w:proofErr w:type="gramStart"/>
            <w:r w:rsidRPr="00171525">
              <w:rPr>
                <w:bCs/>
              </w:rPr>
              <w:lastRenderedPageBreak/>
              <w:t xml:space="preserve">Не применяется: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 xml:space="preserve">. «м» п. 4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1875), </w:t>
            </w:r>
            <w:proofErr w:type="spellStart"/>
            <w:r w:rsidRPr="00171525">
              <w:rPr>
                <w:bCs/>
              </w:rPr>
              <w:t>абз</w:t>
            </w:r>
            <w:proofErr w:type="spellEnd"/>
            <w:r w:rsidRPr="00171525">
              <w:rPr>
                <w:bCs/>
              </w:rPr>
              <w:t xml:space="preserve">. 2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>. «л» п. 4 Постановления № 1875.</w:t>
            </w:r>
            <w:proofErr w:type="gramEnd"/>
          </w:p>
          <w:p w:rsidR="00601989" w:rsidRDefault="00227BD2" w:rsidP="00227BD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171525">
              <w:rPr>
                <w:bCs/>
              </w:rPr>
              <w:t>Заказчик является организацией, осуществляющей регулируемый вид деятельности в сфере теплоснабжения.</w:t>
            </w: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DD01-2141-4E0A-A753-0D84B9BD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2025-03-03T09:39:00Z</cp:lastPrinted>
  <dcterms:created xsi:type="dcterms:W3CDTF">2025-03-03T09:39:00Z</dcterms:created>
  <dcterms:modified xsi:type="dcterms:W3CDTF">2025-03-03T09:39:00Z</dcterms:modified>
</cp:coreProperties>
</file>