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F2D" w:rsidP="00D37F27">
            <w:pPr>
              <w:widowControl w:val="0"/>
              <w:autoSpaceDE w:val="0"/>
              <w:ind w:firstLine="34"/>
              <w:jc w:val="left"/>
              <w:rPr>
                <w:rFonts w:eastAsia="Times New Roman"/>
                <w:b/>
              </w:rPr>
            </w:pPr>
            <w:r>
              <w:rPr>
                <w:rFonts w:eastAsia="Times New Roman"/>
                <w:b/>
              </w:rPr>
              <w:t>Технический</w:t>
            </w:r>
            <w:r w:rsidR="00D37F27">
              <w:rPr>
                <w:rFonts w:eastAsia="Times New Roman"/>
                <w:b/>
              </w:rPr>
              <w:t xml:space="preserve"> директор</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F2D">
              <w:rPr>
                <w:rFonts w:eastAsia="Times New Roman"/>
                <w:b/>
              </w:rPr>
              <w:t xml:space="preserve">С.А. </w:t>
            </w:r>
            <w:proofErr w:type="spellStart"/>
            <w:r w:rsidR="003D157B">
              <w:rPr>
                <w:rFonts w:eastAsia="Times New Roman"/>
                <w:b/>
              </w:rPr>
              <w:t>Ерёмов</w:t>
            </w:r>
            <w:proofErr w:type="spellEnd"/>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bookmarkStart w:id="0" w:name="_GoBack"/>
      <w:bookmarkEnd w:id="0"/>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107E58" w:rsidRPr="00107E58">
        <w:rPr>
          <w:b/>
          <w:sz w:val="28"/>
          <w:szCs w:val="28"/>
        </w:rPr>
        <w:t>теплообменников пластинчатых разборных</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D87A2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162F2D">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sidR="00107E58">
              <w:rPr>
                <w:rFonts w:eastAsia="Times New Roman" w:cs="Arial"/>
                <w:bCs/>
                <w:sz w:val="28"/>
                <w:szCs w:val="28"/>
              </w:rPr>
              <w:t>5</w:t>
            </w:r>
            <w:r w:rsidR="00162F2D">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07E58" w:rsidP="00162F2D">
            <w:pPr>
              <w:snapToGrid w:val="0"/>
              <w:jc w:val="center"/>
              <w:rPr>
                <w:rFonts w:eastAsia="Times New Roman" w:cs="Arial"/>
                <w:bCs/>
                <w:sz w:val="28"/>
                <w:szCs w:val="28"/>
              </w:rPr>
            </w:pPr>
            <w:r>
              <w:rPr>
                <w:rFonts w:eastAsia="Times New Roman" w:cs="Arial"/>
                <w:bCs/>
                <w:sz w:val="28"/>
                <w:szCs w:val="28"/>
              </w:rPr>
              <w:t>5</w:t>
            </w:r>
            <w:r w:rsidR="00162F2D">
              <w:rPr>
                <w:rFonts w:eastAsia="Times New Roman" w:cs="Arial"/>
                <w:bCs/>
                <w:sz w:val="28"/>
                <w:szCs w:val="28"/>
              </w:rPr>
              <w:t>5</w:t>
            </w:r>
            <w:r w:rsidR="00D87A27">
              <w:rPr>
                <w:rFonts w:eastAsia="Times New Roman" w:cs="Arial"/>
                <w:bCs/>
                <w:sz w:val="28"/>
                <w:szCs w:val="28"/>
              </w:rPr>
              <w:t>-</w:t>
            </w:r>
            <w:r w:rsidR="00162F2D">
              <w:rPr>
                <w:rFonts w:eastAsia="Times New Roman" w:cs="Arial"/>
                <w:bCs/>
                <w:sz w:val="28"/>
                <w:szCs w:val="28"/>
              </w:rPr>
              <w:t>60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107E58" w:rsidP="00162F2D">
            <w:pPr>
              <w:snapToGrid w:val="0"/>
              <w:jc w:val="center"/>
              <w:rPr>
                <w:rFonts w:eastAsia="Times New Roman" w:cs="Arial"/>
                <w:bCs/>
                <w:sz w:val="28"/>
                <w:szCs w:val="28"/>
                <w:lang w:val="en-US"/>
              </w:rPr>
            </w:pPr>
            <w:r>
              <w:rPr>
                <w:rFonts w:eastAsia="Times New Roman" w:cs="Arial"/>
                <w:bCs/>
                <w:sz w:val="28"/>
                <w:szCs w:val="28"/>
              </w:rPr>
              <w:t>6</w:t>
            </w:r>
            <w:r w:rsidR="00162F2D">
              <w:rPr>
                <w:rFonts w:eastAsia="Times New Roman" w:cs="Arial"/>
                <w:bCs/>
                <w:sz w:val="28"/>
                <w:szCs w:val="28"/>
              </w:rPr>
              <w:t>1</w:t>
            </w:r>
            <w:r w:rsidR="0084729D">
              <w:rPr>
                <w:rFonts w:eastAsia="Times New Roman" w:cs="Arial"/>
                <w:bCs/>
                <w:sz w:val="28"/>
                <w:szCs w:val="28"/>
              </w:rPr>
              <w:t>-</w:t>
            </w:r>
            <w:r w:rsidR="00162F2D">
              <w:rPr>
                <w:rFonts w:eastAsia="Times New Roman" w:cs="Arial"/>
                <w:bCs/>
                <w:sz w:val="28"/>
                <w:szCs w:val="28"/>
              </w:rPr>
              <w:t>64</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w:t>
      </w:r>
      <w:proofErr w:type="gramStart"/>
      <w:r w:rsidRPr="00AD4F79">
        <w:t>участие</w:t>
      </w:r>
      <w:proofErr w:type="gramEnd"/>
      <w:r w:rsidRPr="00AD4F79">
        <w:t xml:space="preserve">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3D157B">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proofErr w:type="gramStart"/>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w:t>
      </w:r>
      <w:proofErr w:type="gramEnd"/>
      <w:r w:rsidR="00883D85" w:rsidRPr="00AD4F79">
        <w:rPr>
          <w:rFonts w:eastAsia="Times New Roman"/>
        </w:rPr>
        <w:t xml:space="preserve"> </w:t>
      </w:r>
      <w:proofErr w:type="gramStart"/>
      <w:r w:rsidR="00883D85" w:rsidRPr="00AD4F79">
        <w:rPr>
          <w:rFonts w:eastAsia="Times New Roman"/>
        </w:rPr>
        <w:t>закупках</w:t>
      </w:r>
      <w:proofErr w:type="gramEnd"/>
      <w:r w:rsidR="00883D85" w:rsidRPr="00AD4F79">
        <w:rPr>
          <w:rFonts w:eastAsia="Times New Roman"/>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proofErr w:type="gramStart"/>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proofErr w:type="spellStart"/>
      <w:r w:rsidRPr="00AD4F79">
        <w:rPr>
          <w:rFonts w:eastAsia="Times New Roman"/>
          <w:color w:val="000000"/>
          <w:lang w:val="en-US" w:eastAsia="en-US"/>
        </w:rPr>
        <w:t>zakupki</w:t>
      </w:r>
      <w:proofErr w:type="spellEnd"/>
      <w:r w:rsidRPr="00AD4F79">
        <w:rPr>
          <w:rFonts w:eastAsia="Times New Roman"/>
          <w:color w:val="000000"/>
          <w:lang w:eastAsia="en-US"/>
        </w:rPr>
        <w:t>.</w:t>
      </w:r>
      <w:proofErr w:type="spellStart"/>
      <w:r w:rsidRPr="00AD4F79">
        <w:rPr>
          <w:rFonts w:eastAsia="Times New Roman"/>
          <w:color w:val="000000"/>
          <w:lang w:val="en-US" w:eastAsia="en-US"/>
        </w:rPr>
        <w:t>gov</w:t>
      </w:r>
      <w:proofErr w:type="spellEnd"/>
      <w:r w:rsidRPr="00AD4F79">
        <w:rPr>
          <w:rFonts w:eastAsia="Times New Roman"/>
          <w:color w:val="000000"/>
          <w:lang w:eastAsia="en-US"/>
        </w:rPr>
        <w:t>.</w:t>
      </w:r>
      <w:proofErr w:type="spellStart"/>
      <w:r w:rsidRPr="00AD4F79">
        <w:rPr>
          <w:rFonts w:eastAsia="Times New Roman"/>
          <w:color w:val="000000"/>
          <w:lang w:val="en-US" w:eastAsia="en-US"/>
        </w:rPr>
        <w:t>ru</w:t>
      </w:r>
      <w:proofErr w:type="spellEnd"/>
      <w:r w:rsidRPr="00AD4F79">
        <w:rPr>
          <w:rFonts w:eastAsia="Times New Roman"/>
          <w:color w:val="000000"/>
          <w:lang w:eastAsia="en-US"/>
        </w:rPr>
        <w:t>).</w:t>
      </w:r>
      <w:proofErr w:type="gramEnd"/>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proofErr w:type="gramStart"/>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в целях участия в запросе предложений.</w:t>
      </w:r>
      <w:proofErr w:type="gramEnd"/>
      <w:r w:rsidRPr="00AD4F79">
        <w:rPr>
          <w:rFonts w:eastAsia="Times New Roman"/>
        </w:rPr>
        <w:t xml:space="preserve">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proofErr w:type="gramStart"/>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w:t>
      </w:r>
      <w:proofErr w:type="gramEnd"/>
      <w:r w:rsidR="00883D85" w:rsidRPr="00AD4F79">
        <w:rPr>
          <w:rFonts w:eastAsia="Times New Roman"/>
        </w:rPr>
        <w:t xml:space="preserve"> </w:t>
      </w:r>
      <w:proofErr w:type="gramStart"/>
      <w:r w:rsidR="00883D85" w:rsidRPr="00AD4F79">
        <w:rPr>
          <w:rFonts w:eastAsia="Times New Roman"/>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roofErr w:type="gramEnd"/>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proofErr w:type="gramStart"/>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3A364B" w:rsidRPr="00AD4F79" w:rsidRDefault="003A364B" w:rsidP="003A364B">
      <w:pPr>
        <w:suppressAutoHyphens w:val="0"/>
        <w:ind w:right="-22" w:firstLine="567"/>
        <w:rPr>
          <w:rFonts w:eastAsia="Times New Roman"/>
          <w:color w:val="000000"/>
          <w:lang w:eastAsia="en-US"/>
        </w:rPr>
      </w:pPr>
      <w:proofErr w:type="spellStart"/>
      <w:r w:rsidRPr="00AD4F79">
        <w:rPr>
          <w:rFonts w:eastAsia="Times New Roman"/>
          <w:b/>
          <w:bCs/>
          <w:color w:val="000000"/>
          <w:lang w:eastAsia="en-US"/>
        </w:rPr>
        <w:t>Самозанятые</w:t>
      </w:r>
      <w:proofErr w:type="spellEnd"/>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107E58" w:rsidP="00C33032">
            <w:pPr>
              <w:autoSpaceDE w:val="0"/>
            </w:pPr>
            <w:r>
              <w:rPr>
                <w:rFonts w:eastAsia="Times New Roman"/>
                <w:iCs/>
                <w:color w:val="000000"/>
              </w:rPr>
              <w:t xml:space="preserve">Заместитель начальника </w:t>
            </w:r>
            <w:proofErr w:type="spellStart"/>
            <w:r>
              <w:rPr>
                <w:rFonts w:eastAsia="Times New Roman"/>
                <w:iCs/>
                <w:color w:val="000000"/>
              </w:rPr>
              <w:t>СЭКУиГО</w:t>
            </w:r>
            <w:proofErr w:type="spellEnd"/>
            <w:r>
              <w:rPr>
                <w:rFonts w:eastAsia="Times New Roman"/>
                <w:iCs/>
                <w:color w:val="000000"/>
              </w:rPr>
              <w:t xml:space="preserve"> </w:t>
            </w:r>
            <w:proofErr w:type="spellStart"/>
            <w:r>
              <w:rPr>
                <w:rFonts w:eastAsia="Times New Roman"/>
                <w:iCs/>
                <w:color w:val="000000"/>
              </w:rPr>
              <w:t>Калетник</w:t>
            </w:r>
            <w:proofErr w:type="spellEnd"/>
            <w:r>
              <w:rPr>
                <w:rFonts w:eastAsia="Times New Roman"/>
                <w:iCs/>
                <w:color w:val="000000"/>
              </w:rPr>
              <w:t xml:space="preserve"> Вадим Геннадьевич</w:t>
            </w:r>
            <w:r>
              <w:rPr>
                <w:bCs/>
              </w:rPr>
              <w:t xml:space="preserve"> </w:t>
            </w:r>
            <w:r w:rsidRPr="00E858B5">
              <w:rPr>
                <w:bCs/>
              </w:rPr>
              <w:t xml:space="preserve">тел. </w:t>
            </w:r>
            <w:r>
              <w:rPr>
                <w:bCs/>
              </w:rPr>
              <w:t>8-902-814-54-37</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4" w:name="%D1%84%D0%BE%D1%80%D0%BC%D0%B02"/>
            <w:r w:rsidRPr="00AD4F79">
              <w:rPr>
                <w:bCs/>
              </w:rPr>
              <w:t xml:space="preserve">Особенности участия </w:t>
            </w:r>
            <w:r w:rsidR="00E31503" w:rsidRPr="00AD4F79">
              <w:rPr>
                <w:bCs/>
              </w:rPr>
              <w:t>СМСП</w:t>
            </w:r>
            <w:r w:rsidRPr="00AD4F79">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proofErr w:type="gramStart"/>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w:t>
            </w:r>
            <w:proofErr w:type="gramEnd"/>
            <w:r w:rsidRPr="00AD4F79">
              <w:rPr>
                <w:rFonts w:eastAsia="Times New Roman"/>
                <w:color w:val="000000"/>
              </w:rPr>
              <w:t xml:space="preserve">, ограничение, преимущество </w:t>
            </w:r>
            <w:proofErr w:type="gramStart"/>
            <w:r w:rsidRPr="00AD4F79">
              <w:rPr>
                <w:rFonts w:eastAsia="Times New Roman"/>
                <w:color w:val="000000"/>
              </w:rPr>
              <w:t>установлены</w:t>
            </w:r>
            <w:proofErr w:type="gramEnd"/>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F510BC" w:rsidRPr="00171525" w:rsidRDefault="00F510BC" w:rsidP="00F510BC">
            <w:pPr>
              <w:pStyle w:val="Default"/>
              <w:rPr>
                <w:bCs/>
              </w:rPr>
            </w:pPr>
            <w:proofErr w:type="gramStart"/>
            <w:r w:rsidRPr="00171525">
              <w:rPr>
                <w:bCs/>
              </w:rPr>
              <w:lastRenderedPageBreak/>
              <w:t xml:space="preserve">Не применяется: </w:t>
            </w:r>
            <w:proofErr w:type="spellStart"/>
            <w:r w:rsidRPr="00171525">
              <w:rPr>
                <w:bCs/>
              </w:rPr>
              <w:t>пп</w:t>
            </w:r>
            <w:proofErr w:type="spellEnd"/>
            <w:r w:rsidRPr="00171525">
              <w:rPr>
                <w:bCs/>
              </w:rPr>
              <w:t xml:space="preserve">.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w:t>
            </w:r>
            <w:proofErr w:type="spellStart"/>
            <w:r w:rsidRPr="00171525">
              <w:rPr>
                <w:bCs/>
              </w:rPr>
              <w:t>абз</w:t>
            </w:r>
            <w:proofErr w:type="spellEnd"/>
            <w:r w:rsidRPr="00171525">
              <w:rPr>
                <w:bCs/>
              </w:rPr>
              <w:t xml:space="preserve">. 2 </w:t>
            </w:r>
            <w:proofErr w:type="spellStart"/>
            <w:r w:rsidRPr="00171525">
              <w:rPr>
                <w:bCs/>
              </w:rPr>
              <w:t>пп</w:t>
            </w:r>
            <w:proofErr w:type="spellEnd"/>
            <w:r w:rsidRPr="00171525">
              <w:rPr>
                <w:bCs/>
              </w:rPr>
              <w:t>. «л» п. 4 Постановления № 1875.</w:t>
            </w:r>
            <w:proofErr w:type="gramEnd"/>
          </w:p>
          <w:p w:rsidR="007406F6" w:rsidRDefault="00F510BC" w:rsidP="00F510BC">
            <w:pPr>
              <w:autoSpaceDE w:val="0"/>
              <w:autoSpaceDN w:val="0"/>
              <w:adjustRightInd w:val="0"/>
              <w:ind w:left="34"/>
              <w:rPr>
                <w:bCs/>
                <w:color w:val="000000"/>
              </w:rPr>
            </w:pPr>
            <w:r w:rsidRPr="00171525">
              <w:rPr>
                <w:bCs/>
              </w:rPr>
              <w:t>Заказчик является организацией, осуществляющей регулируемый вид деятельности в сфере теплоснабжения.</w:t>
            </w:r>
          </w:p>
          <w:p w:rsidR="00BF1814" w:rsidRPr="006A0C0C" w:rsidRDefault="00BF1814" w:rsidP="000C66D7">
            <w:pPr>
              <w:pStyle w:val="Default"/>
              <w:rPr>
                <w:highlight w:val="cyan"/>
              </w:rPr>
            </w:pP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w:t>
            </w:r>
            <w:proofErr w:type="gramStart"/>
            <w:r w:rsidRPr="00AD4F79">
              <w:rPr>
                <w:rFonts w:eastAsia="Times New Roman"/>
              </w:rPr>
              <w:t>находящейся</w:t>
            </w:r>
            <w:proofErr w:type="gramEnd"/>
            <w:r w:rsidRPr="00AD4F79">
              <w:rPr>
                <w:rFonts w:eastAsia="Times New Roman"/>
              </w:rPr>
              <w:t xml:space="preserve">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162F2D">
            <w:pPr>
              <w:rPr>
                <w:highlight w:val="cyan"/>
              </w:rPr>
            </w:pPr>
            <w:r w:rsidRPr="00AD4F79">
              <w:rPr>
                <w:rFonts w:eastAsia="Times New Roman"/>
              </w:rPr>
              <w:t>«</w:t>
            </w:r>
            <w:r w:rsidR="00162F2D">
              <w:rPr>
                <w:rFonts w:eastAsia="Times New Roman"/>
              </w:rPr>
              <w:t>25</w:t>
            </w:r>
            <w:r w:rsidRPr="00AD4F79">
              <w:rPr>
                <w:rFonts w:eastAsia="Times New Roman"/>
              </w:rPr>
              <w:t xml:space="preserve">» </w:t>
            </w:r>
            <w:r w:rsidR="00107E58">
              <w:rPr>
                <w:rFonts w:eastAsia="Times New Roman"/>
              </w:rPr>
              <w:t>марта</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proofErr w:type="gramStart"/>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roofErr w:type="gramEnd"/>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162F2D">
            <w:r w:rsidRPr="00AD4F79">
              <w:t>«</w:t>
            </w:r>
            <w:r w:rsidR="00162F2D">
              <w:t>02</w:t>
            </w:r>
            <w:r w:rsidRPr="00AD4F79">
              <w:t xml:space="preserve">» </w:t>
            </w:r>
            <w:r w:rsidR="00F510BC">
              <w:t>а</w:t>
            </w:r>
            <w:r w:rsidR="00162F2D">
              <w:t>преля</w:t>
            </w:r>
            <w:r w:rsidRPr="00AD4F79">
              <w:t xml:space="preserve"> 202</w:t>
            </w:r>
            <w:r w:rsidR="00AD4F79" w:rsidRPr="00AD4F79">
              <w:t>5</w:t>
            </w:r>
            <w:r w:rsidRPr="00AD4F79">
              <w:t xml:space="preserve"> года в 0</w:t>
            </w:r>
            <w:r w:rsidR="00162F2D">
              <w:t>8</w:t>
            </w:r>
            <w:r w:rsidRPr="00AD4F79">
              <w:t>:</w:t>
            </w:r>
            <w:r w:rsidR="00F510BC">
              <w:t>3</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162F2D">
            <w:pPr>
              <w:autoSpaceDE w:val="0"/>
              <w:rPr>
                <w:rFonts w:eastAsia="Times New Roman"/>
              </w:rPr>
            </w:pPr>
            <w:r w:rsidRPr="00AD4F79">
              <w:t>«</w:t>
            </w:r>
            <w:r w:rsidR="00162F2D">
              <w:t>02</w:t>
            </w:r>
            <w:r w:rsidRPr="00AD4F79">
              <w:t xml:space="preserve">» </w:t>
            </w:r>
            <w:r w:rsidR="00F510BC">
              <w:t>а</w:t>
            </w:r>
            <w:r w:rsidR="00162F2D">
              <w:t>преля</w:t>
            </w:r>
            <w:r w:rsidR="00A11E96" w:rsidRPr="00AD4F79">
              <w:t xml:space="preserve"> </w:t>
            </w:r>
            <w:r w:rsidRPr="00AD4F79">
              <w:t>202</w:t>
            </w:r>
            <w:r w:rsidR="00AD4F79">
              <w:t>5</w:t>
            </w:r>
            <w:r w:rsidRPr="00AD4F79">
              <w:t xml:space="preserve"> года в 0</w:t>
            </w:r>
            <w:r w:rsidR="00162F2D">
              <w:t>8</w:t>
            </w:r>
            <w:r w:rsidRPr="00AD4F79">
              <w:t>:</w:t>
            </w:r>
            <w:r w:rsidR="00F510BC">
              <w:t>3</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62F2D">
              <w:t>03</w:t>
            </w:r>
            <w:r w:rsidR="00A31594" w:rsidRPr="00AD4F79">
              <w:t xml:space="preserve">» </w:t>
            </w:r>
            <w:r w:rsidR="00162F2D">
              <w:t>апреля</w:t>
            </w:r>
            <w:r w:rsidR="00A31594" w:rsidRPr="00AD4F79">
              <w:t xml:space="preserve"> 202</w:t>
            </w:r>
            <w:r w:rsidR="00AD4F79">
              <w:t>5</w:t>
            </w:r>
            <w:r w:rsidR="00A31594" w:rsidRPr="00AD4F79">
              <w:t xml:space="preserve"> года в 0</w:t>
            </w:r>
            <w:r w:rsidR="00162F2D">
              <w:t>8</w:t>
            </w:r>
            <w:r w:rsidR="00A31594" w:rsidRPr="00AD4F79">
              <w:t>:</w:t>
            </w:r>
            <w:r w:rsidR="00F510BC">
              <w:t>3</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162F2D">
              <w:t>04</w:t>
            </w:r>
            <w:r w:rsidR="00A31594" w:rsidRPr="00AD4F79">
              <w:t xml:space="preserve">» </w:t>
            </w:r>
            <w:r w:rsidR="00C07FE0">
              <w:t>а</w:t>
            </w:r>
            <w:r w:rsidR="00162F2D">
              <w:t>преля</w:t>
            </w:r>
            <w:r w:rsidR="00A31594" w:rsidRPr="00AD4F79">
              <w:t xml:space="preserve"> 202</w:t>
            </w:r>
            <w:r w:rsidR="00AD4F79">
              <w:t>5</w:t>
            </w:r>
            <w:r w:rsidR="00A31594" w:rsidRPr="00AD4F79">
              <w:t xml:space="preserve"> года в 0</w:t>
            </w:r>
            <w:r w:rsidR="00162F2D">
              <w:t>8</w:t>
            </w:r>
            <w:r w:rsidR="00A31594" w:rsidRPr="00AD4F79">
              <w:t>:</w:t>
            </w:r>
            <w:r w:rsidR="00F510BC">
              <w:t>3</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162F2D">
              <w:t>07</w:t>
            </w:r>
            <w:r w:rsidR="00A31594" w:rsidRPr="00AD4F79">
              <w:t xml:space="preserve">» </w:t>
            </w:r>
            <w:r w:rsidR="00F510BC">
              <w:t>а</w:t>
            </w:r>
            <w:r w:rsidR="00162F2D">
              <w:t>преля</w:t>
            </w:r>
            <w:r w:rsidR="00A31594" w:rsidRPr="00AD4F79">
              <w:t xml:space="preserve"> 202</w:t>
            </w:r>
            <w:r w:rsidR="00AD4F79">
              <w:t>5</w:t>
            </w:r>
            <w:r w:rsidR="00A31594" w:rsidRPr="00AD4F79">
              <w:t xml:space="preserve"> года в 0</w:t>
            </w:r>
            <w:r w:rsidR="00162F2D">
              <w:t>8</w:t>
            </w:r>
            <w:r w:rsidR="00A31594" w:rsidRPr="00AD4F79">
              <w:t>:</w:t>
            </w:r>
            <w:r w:rsidR="00F510BC">
              <w:t>3</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w:t>
            </w:r>
            <w:r w:rsidRPr="00AD4F79">
              <w:rPr>
                <w:rFonts w:eastAsia="Times New Roman"/>
              </w:rPr>
              <w:lastRenderedPageBreak/>
              <w:t>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162F2D">
              <w:rPr>
                <w:rFonts w:eastAsia="Times New Roman"/>
              </w:rPr>
              <w:t>25</w:t>
            </w:r>
            <w:r w:rsidR="00A31594" w:rsidRPr="00AD4F79">
              <w:rPr>
                <w:rFonts w:eastAsia="Times New Roman"/>
              </w:rPr>
              <w:t xml:space="preserve">» </w:t>
            </w:r>
            <w:r w:rsidR="00107E58">
              <w:rPr>
                <w:rFonts w:eastAsia="Times New Roman"/>
              </w:rPr>
              <w:t>марта</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lastRenderedPageBreak/>
              <w:t>«</w:t>
            </w:r>
            <w:r w:rsidR="00162F2D">
              <w:t>02</w:t>
            </w:r>
            <w:r w:rsidRPr="00AD4F79">
              <w:t xml:space="preserve">» </w:t>
            </w:r>
            <w:r w:rsidR="00F510BC">
              <w:t>а</w:t>
            </w:r>
            <w:r w:rsidR="00162F2D">
              <w:t>преля</w:t>
            </w:r>
            <w:r w:rsidRPr="00AD4F79">
              <w:t xml:space="preserve"> 202</w:t>
            </w:r>
            <w:r w:rsidR="00AD4F79">
              <w:t>5</w:t>
            </w:r>
            <w:r w:rsidRPr="00AD4F79">
              <w:t xml:space="preserve"> года 0</w:t>
            </w:r>
            <w:r w:rsidR="00162F2D">
              <w:t>8</w:t>
            </w:r>
            <w:r w:rsidRPr="00AD4F79">
              <w:t>:</w:t>
            </w:r>
            <w:r w:rsidR="00F510BC">
              <w:t>3</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w:t>
            </w:r>
            <w:proofErr w:type="gramStart"/>
            <w:r w:rsidRPr="00AD4F79">
              <w:t>с даты поступления</w:t>
            </w:r>
            <w:proofErr w:type="gramEnd"/>
            <w:r w:rsidRPr="00AD4F79">
              <w:t xml:space="preserve">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w:t>
            </w:r>
            <w:proofErr w:type="gramStart"/>
            <w:r w:rsidRPr="00AD4F79">
              <w:t>позднее</w:t>
            </w:r>
            <w:proofErr w:type="gramEnd"/>
            <w:r w:rsidRPr="00AD4F79">
              <w:t xml:space="preserve">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107E58" w:rsidRPr="00107E58">
              <w:rPr>
                <w:b/>
                <w:u w:val="single"/>
              </w:rPr>
              <w:t>теплообменников пластинчатых разборных</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107E58" w:rsidRPr="00107E58">
              <w:rPr>
                <w:b/>
                <w:u w:val="single"/>
              </w:rPr>
              <w:t>теплообменников пластинчатых разборных</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proofErr w:type="gramStart"/>
            <w:r w:rsidRPr="00AD4F79">
              <w:rPr>
                <w:rFonts w:eastAsia="Times New Roman"/>
              </w:rPr>
              <w:t xml:space="preserve">Требования к безопасности, качеству, техническим характеристикам, функциональным </w:t>
            </w:r>
            <w:r w:rsidRPr="00AD4F79">
              <w:rPr>
                <w:rFonts w:eastAsia="Times New Roman"/>
              </w:rPr>
              <w:lastRenderedPageBreak/>
              <w:t>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 </w:t>
            </w:r>
            <w:proofErr w:type="gramStart"/>
            <w:r w:rsidRPr="00AD4F79">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w:t>
            </w:r>
            <w:r w:rsidRPr="00AD4F79">
              <w:rPr>
                <w:rFonts w:eastAsia="Times New Roman"/>
              </w:rPr>
              <w:lastRenderedPageBreak/>
              <w:t>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proofErr w:type="gramStart"/>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w:t>
            </w:r>
            <w:r w:rsidRPr="00AD4F79">
              <w:rPr>
                <w:bCs/>
              </w:rPr>
              <w:lastRenderedPageBreak/>
              <w:t>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107E58">
              <w:rPr>
                <w:rFonts w:eastAsia="DejaVu Sans" w:cs="DejaVu Sans"/>
                <w:b/>
                <w:iCs/>
                <w:kern w:val="1"/>
                <w:lang w:bidi="hi-IN"/>
              </w:rPr>
              <w:t>10 769 000</w:t>
            </w:r>
            <w:r w:rsidR="00A31594" w:rsidRPr="00AD4F79">
              <w:rPr>
                <w:rFonts w:eastAsia="DejaVu Sans" w:cs="DejaVu Sans"/>
                <w:b/>
                <w:iCs/>
                <w:kern w:val="1"/>
                <w:lang w:bidi="hi-IN"/>
              </w:rPr>
              <w:t xml:space="preserve"> (</w:t>
            </w:r>
            <w:r w:rsidR="00107E58">
              <w:rPr>
                <w:rFonts w:eastAsia="DejaVu Sans" w:cs="DejaVu Sans"/>
                <w:b/>
                <w:iCs/>
                <w:kern w:val="1"/>
                <w:lang w:bidi="hi-IN"/>
              </w:rPr>
              <w:t>десять миллионов семьсот шестьдесят девять тысяч</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00</w:t>
            </w:r>
            <w:r w:rsidR="00A31594" w:rsidRPr="00AD4F79">
              <w:rPr>
                <w:rFonts w:eastAsia="DejaVu Sans" w:cs="DejaVu Sans"/>
                <w:b/>
                <w:iCs/>
                <w:kern w:val="1"/>
                <w:lang w:bidi="hi-IN"/>
              </w:rPr>
              <w:t xml:space="preserve"> копе</w:t>
            </w:r>
            <w:r w:rsidR="00AD4F79">
              <w:rPr>
                <w:rFonts w:eastAsia="DejaVu Sans" w:cs="DejaVu Sans"/>
                <w:b/>
                <w:iCs/>
                <w:kern w:val="1"/>
                <w:lang w:bidi="hi-IN"/>
              </w:rPr>
              <w:t>е</w:t>
            </w:r>
            <w:r w:rsidR="00A31594" w:rsidRPr="00AD4F79">
              <w:rPr>
                <w:rFonts w:eastAsia="DejaVu Sans" w:cs="DejaVu Sans"/>
                <w:b/>
                <w:iCs/>
                <w:kern w:val="1"/>
                <w:lang w:bidi="hi-IN"/>
              </w:rPr>
              <w:t>к</w:t>
            </w:r>
            <w:r w:rsidR="00A5012F" w:rsidRPr="00AD4F79">
              <w:rPr>
                <w:rFonts w:eastAsia="DejaVu Sans" w:cs="DejaVu Sans"/>
                <w:b/>
                <w:iCs/>
                <w:color w:val="auto"/>
                <w:kern w:val="1"/>
                <w:lang w:bidi="hi-IN"/>
              </w:rPr>
              <w:t>.</w:t>
            </w:r>
          </w:p>
          <w:p w:rsidR="001D0638" w:rsidRPr="00AD4F79" w:rsidRDefault="00107E58"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proofErr w:type="gramStart"/>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AD4F79">
              <w:rPr>
                <w:rFonts w:eastAsia="Times New Roman"/>
              </w:rPr>
              <w:t xml:space="preserve">, </w:t>
            </w:r>
            <w:proofErr w:type="gramStart"/>
            <w:r w:rsidR="00852CC0" w:rsidRPr="00AD4F79">
              <w:rPr>
                <w:rFonts w:eastAsia="Times New Roman"/>
              </w:rPr>
              <w:t>связанных</w:t>
            </w:r>
            <w:proofErr w:type="gramEnd"/>
            <w:r w:rsidR="00852CC0" w:rsidRPr="00AD4F79">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proofErr w:type="gramStart"/>
                  <w:r w:rsidR="00157B11" w:rsidRPr="00AD4F79">
                    <w:rPr>
                      <w:rFonts w:eastAsia="Times New Roman"/>
                      <w:lang w:eastAsia="ru-RU"/>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157B11" w:rsidRPr="00AD4F79">
                    <w:rPr>
                      <w:rFonts w:eastAsia="Times New Roman"/>
                      <w:lang w:eastAsia="ru-RU"/>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00157B11" w:rsidRPr="00AD4F79">
                    <w:rPr>
                      <w:rFonts w:eastAsia="Times New Roman"/>
                      <w:lang w:eastAsia="ru-RU"/>
                    </w:rPr>
                    <w:lastRenderedPageBreak/>
                    <w:t>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proofErr w:type="spellStart"/>
                  <w:r w:rsidR="0067616D" w:rsidRPr="00AD4F79">
                    <w:t>Непроведение</w:t>
                  </w:r>
                  <w:proofErr w:type="spellEnd"/>
                  <w:r w:rsidR="0067616D" w:rsidRPr="00AD4F79">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proofErr w:type="spellStart"/>
                  <w:r w:rsidR="0067616D" w:rsidRPr="00AD4F79">
                    <w:rPr>
                      <w:rFonts w:cs="Arial"/>
                      <w:color w:val="000000"/>
                    </w:rPr>
                    <w:t>Неприостановление</w:t>
                  </w:r>
                  <w:proofErr w:type="spellEnd"/>
                  <w:r w:rsidR="0067616D" w:rsidRPr="00AD4F79">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proofErr w:type="gramStart"/>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00157B11" w:rsidRPr="00AD4F79">
                    <w:rPr>
                      <w:rFonts w:cs="Arial"/>
                      <w:color w:val="000000"/>
                    </w:rPr>
                    <w:lastRenderedPageBreak/>
                    <w:t>вступившее</w:t>
                  </w:r>
                  <w:proofErr w:type="gramEnd"/>
                  <w:r w:rsidR="00157B11" w:rsidRPr="00AD4F79">
                    <w:rPr>
                      <w:rFonts w:cs="Arial"/>
                      <w:color w:val="000000"/>
                    </w:rPr>
                    <w:t xml:space="preserve"> в законную силу решение суда о признании обязанности </w:t>
                  </w:r>
                  <w:proofErr w:type="gramStart"/>
                  <w:r w:rsidR="00157B11" w:rsidRPr="00AD4F79">
                    <w:rPr>
                      <w:rFonts w:cs="Arial"/>
                      <w:color w:val="000000"/>
                    </w:rPr>
                    <w:t>заявителя</w:t>
                  </w:r>
                  <w:proofErr w:type="gramEnd"/>
                  <w:r w:rsidR="00157B11" w:rsidRPr="00AD4F79">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 xml:space="preserve">Отсутствие фактов привлечения </w:t>
                  </w:r>
                  <w:proofErr w:type="gramStart"/>
                  <w:r w:rsidR="00157B11" w:rsidRPr="00AD4F79">
                    <w:rPr>
                      <w:rFonts w:cs="Arial"/>
                      <w:color w:val="000000"/>
                    </w:rPr>
                    <w:t>в течение двух лет до момента подачи заявки на участие в конкурентной закупке с участием</w:t>
                  </w:r>
                  <w:proofErr w:type="gramEnd"/>
                  <w:r w:rsidR="00157B11" w:rsidRPr="00AD4F79">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proofErr w:type="gramStart"/>
                  <w:r w:rsidR="00157B11" w:rsidRPr="00AD4F79">
                    <w:rPr>
                      <w:rFonts w:cs="Arial"/>
                      <w:color w:val="000000"/>
                    </w:rPr>
                    <w:t xml:space="preserve">Соответствие участника </w:t>
                  </w:r>
                  <w:r w:rsidR="00157B11" w:rsidRPr="00AD4F79">
                    <w:rPr>
                      <w:rFonts w:cs="Arial"/>
                      <w:color w:val="000000"/>
                    </w:rPr>
                    <w:lastRenderedPageBreak/>
                    <w:t>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157B11" w:rsidRPr="00AD4F79">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w:t>
                  </w:r>
                  <w:r w:rsidRPr="00AD4F79">
                    <w:rPr>
                      <w:color w:val="000000"/>
                    </w:rPr>
                    <w:lastRenderedPageBreak/>
                    <w:t xml:space="preserve">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107E58">
                    <w:rPr>
                      <w:rFonts w:eastAsia="Times New Roman" w:cs="Arial"/>
                    </w:rPr>
                    <w:t>рабочих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107E58">
                    <w:rPr>
                      <w:rFonts w:eastAsia="Times New Roman" w:cs="Arial"/>
                    </w:rPr>
                    <w:t>90</w:t>
                  </w:r>
                  <w:r w:rsidR="00A5012F" w:rsidRPr="00AD4F79">
                    <w:rPr>
                      <w:rFonts w:eastAsia="Times New Roman" w:cs="Arial"/>
                    </w:rPr>
                    <w:t xml:space="preserve"> </w:t>
                  </w:r>
                  <w:r w:rsidR="00107E58">
                    <w:rPr>
                      <w:rFonts w:eastAsia="Times New Roman" w:cs="Arial"/>
                    </w:rPr>
                    <w:t>рабочих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F510BC">
                  <w:pPr>
                    <w:contextualSpacing/>
                  </w:pPr>
                  <w:proofErr w:type="gramStart"/>
                  <w:r w:rsidRPr="00AD4F79">
                    <w:rPr>
                      <w:rFonts w:eastAsia="Times New Roman" w:cs="Arial"/>
                      <w:lang w:val="en-US"/>
                    </w:rPr>
                    <w:t>min</w:t>
                  </w:r>
                  <w:proofErr w:type="gramEnd"/>
                  <w:r w:rsidRPr="00AD4F79">
                    <w:rPr>
                      <w:rFonts w:eastAsia="Times New Roman" w:cs="Arial"/>
                    </w:rPr>
                    <w:t xml:space="preserve"> срок: </w:t>
                  </w:r>
                  <w:r w:rsidR="00AD4F79">
                    <w:rPr>
                      <w:rFonts w:eastAsia="Times New Roman" w:cs="Arial"/>
                    </w:rPr>
                    <w:t>2</w:t>
                  </w:r>
                  <w:r w:rsidR="00F510BC">
                    <w:rPr>
                      <w:rFonts w:eastAsia="Times New Roman" w:cs="Arial"/>
                    </w:rPr>
                    <w:t>4</w:t>
                  </w:r>
                  <w:r w:rsidR="00AD4F79">
                    <w:rPr>
                      <w:rFonts w:eastAsia="Times New Roman" w:cs="Arial"/>
                    </w:rPr>
                    <w:t xml:space="preserve"> </w:t>
                  </w:r>
                  <w:r w:rsidR="00F510BC">
                    <w:rPr>
                      <w:rFonts w:eastAsia="Times New Roman" w:cs="Arial"/>
                    </w:rPr>
                    <w:t>месяца</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 xml:space="preserve">Присуждение каждой заявке порядкового номера по мере </w:t>
            </w:r>
            <w:proofErr w:type="gramStart"/>
            <w:r w:rsidRPr="00AD4F79">
              <w:rPr>
                <w:rFonts w:eastAsia="Times New Roman"/>
              </w:rPr>
              <w:t>уменьшения степени привлекательности предложения участника</w:t>
            </w:r>
            <w:proofErr w:type="gramEnd"/>
            <w:r w:rsidRPr="00AD4F79">
              <w:rPr>
                <w:rFonts w:eastAsia="Times New Roman"/>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proofErr w:type="spellStart"/>
            <w:r w:rsidRPr="00AD4F79">
              <w:rPr>
                <w:rFonts w:eastAsia="Times New Roman"/>
                <w:lang w:val="en-US"/>
              </w:rPr>
              <w:t>i</w:t>
            </w:r>
            <w:proofErr w:type="spellEnd"/>
            <w:r w:rsidRPr="00AD4F79">
              <w:rPr>
                <w:rFonts w:eastAsia="Times New Roman"/>
              </w:rPr>
              <w:t>-го участника запроса предложений (</w:t>
            </w: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lang w:val="en-US"/>
              </w:rPr>
              <w:t>= R</w:t>
            </w:r>
            <w:r w:rsidRPr="00AD4F79">
              <w:rPr>
                <w:rFonts w:eastAsia="Times New Roman"/>
              </w:rPr>
              <w:t>а</w:t>
            </w:r>
            <w:proofErr w:type="spellStart"/>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proofErr w:type="spellStart"/>
            <w:r w:rsidRPr="00AD4F79">
              <w:rPr>
                <w:rFonts w:eastAsia="Times New Roman"/>
                <w:vertAlign w:val="subscript"/>
                <w:lang w:val="en-US"/>
              </w:rPr>
              <w:t>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 xml:space="preserve"> – й заявки по критерию «Цена договора</w:t>
            </w:r>
          </w:p>
          <w:p w:rsidR="0004477D" w:rsidRPr="00AD4F79" w:rsidRDefault="0004477D" w:rsidP="0004477D">
            <w:proofErr w:type="spellStart"/>
            <w:r w:rsidRPr="00AD4F79">
              <w:rPr>
                <w:rFonts w:eastAsia="Times New Roman"/>
                <w:lang w:val="en-US"/>
              </w:rPr>
              <w:lastRenderedPageBreak/>
              <w:t>R</w:t>
            </w:r>
            <w:r w:rsidRPr="00AD4F79">
              <w:rPr>
                <w:rFonts w:eastAsia="Times New Roman"/>
                <w:vertAlign w:val="subscript"/>
                <w:lang w:val="en-US"/>
              </w:rPr>
              <w:t>Bi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04477D" w:rsidRPr="00AD4F79" w:rsidRDefault="00560E82"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560E82"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proofErr w:type="spellStart"/>
            <w:r w:rsidR="00FF38CF" w:rsidRPr="00AD4F79">
              <w:rPr>
                <w:rFonts w:eastAsia="Times New Roman"/>
                <w:sz w:val="28"/>
                <w:szCs w:val="28"/>
                <w:lang w:val="en-US"/>
              </w:rPr>
              <w:t>Kz</w:t>
            </w:r>
            <w:proofErr w:type="spellEnd"/>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proofErr w:type="spellStart"/>
            <w:r w:rsidRPr="00AD4F79">
              <w:rPr>
                <w:rFonts w:eastAsia="Times New Roman"/>
                <w:lang w:val="en-US"/>
              </w:rPr>
              <w:t>i</w:t>
            </w:r>
            <w:proofErr w:type="spellEnd"/>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w:t>
            </w:r>
            <w:proofErr w:type="gramStart"/>
            <w:r w:rsidRPr="00AD4F79">
              <w:rPr>
                <w:rFonts w:eastAsia="Times New Roman"/>
              </w:rPr>
              <w:t>-  цена</w:t>
            </w:r>
            <w:proofErr w:type="gramEnd"/>
            <w:r w:rsidRPr="00AD4F79">
              <w:rPr>
                <w:rFonts w:eastAsia="Times New Roman"/>
              </w:rPr>
              <w:t xml:space="preserve"> договора, предложенная  </w:t>
            </w:r>
            <w:proofErr w:type="spellStart"/>
            <w:r w:rsidRPr="00AD4F79">
              <w:rPr>
                <w:rFonts w:eastAsia="Times New Roman"/>
                <w:lang w:val="en-US"/>
              </w:rPr>
              <w:t>i</w:t>
            </w:r>
            <w:proofErr w:type="spellEnd"/>
            <w:r w:rsidRPr="00AD4F79">
              <w:rPr>
                <w:rFonts w:eastAsia="Times New Roman"/>
              </w:rPr>
              <w:t>-м участником.</w:t>
            </w:r>
          </w:p>
          <w:p w:rsidR="00FF38CF" w:rsidRPr="00AD4F79" w:rsidRDefault="00FF38CF" w:rsidP="00FF38CF">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560E82"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proofErr w:type="spellStart"/>
            <w:r w:rsidRPr="00AD4F79">
              <w:rPr>
                <w:rFonts w:eastAsia="Times New Roman"/>
                <w:vertAlign w:val="subscript"/>
                <w:lang w:val="en-US"/>
              </w:rPr>
              <w:t>i</w:t>
            </w:r>
            <w:proofErr w:type="spellEnd"/>
            <w:r w:rsidRPr="00AD4F79">
              <w:rPr>
                <w:rFonts w:eastAsia="Times New Roman"/>
              </w:rPr>
              <w:t xml:space="preserve"> -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max</w:t>
            </w:r>
            <w:proofErr w:type="spellEnd"/>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proofErr w:type="spellStart"/>
            <w:r w:rsidR="00EF09B2" w:rsidRPr="00AD4F79">
              <w:rPr>
                <w:rFonts w:eastAsia="Times New Roman"/>
                <w:lang w:val="en-US"/>
              </w:rPr>
              <w:t>i</w:t>
            </w:r>
            <w:proofErr w:type="spellEnd"/>
            <w:r w:rsidR="00EF09B2" w:rsidRPr="00AD4F79">
              <w:rPr>
                <w:rFonts w:eastAsia="Times New Roman"/>
              </w:rPr>
              <w:t>-м участником в заявке;</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min</w:t>
            </w:r>
            <w:proofErr w:type="spellEnd"/>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w:t>
            </w:r>
            <w:proofErr w:type="spellStart"/>
            <w:r w:rsidRPr="00AD4F79">
              <w:rPr>
                <w:rFonts w:eastAsia="Times New Roman"/>
              </w:rPr>
              <w:t>му</w:t>
            </w:r>
            <w:proofErr w:type="spellEnd"/>
            <w:r w:rsidRPr="00AD4F79">
              <w:rPr>
                <w:rFonts w:eastAsia="Times New Roman"/>
              </w:rPr>
              <w:t xml:space="preserve">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На основании выставленных баллов рассчитывается рейтинг заявки i-</w:t>
            </w:r>
            <w:proofErr w:type="spellStart"/>
            <w:r w:rsidRPr="00AD4F79">
              <w:rPr>
                <w:rFonts w:eastAsia="Times New Roman"/>
              </w:rPr>
              <w:t>го</w:t>
            </w:r>
            <w:proofErr w:type="spellEnd"/>
            <w:r w:rsidRPr="00AD4F79">
              <w:rPr>
                <w:rFonts w:eastAsia="Times New Roman"/>
              </w:rPr>
              <w:t xml:space="preserve"> участника по формуле: </w:t>
            </w:r>
          </w:p>
          <w:p w:rsidR="00364A61" w:rsidRPr="00AD4F79" w:rsidRDefault="00364A61" w:rsidP="00364A61">
            <w:pPr>
              <w:rPr>
                <w:rFonts w:eastAsia="Times New Roman"/>
              </w:rPr>
            </w:pPr>
          </w:p>
          <w:p w:rsidR="00BF581E" w:rsidRPr="00AD4F79" w:rsidRDefault="00560E82"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proofErr w:type="spellStart"/>
            <w:r w:rsidRPr="00AD4F79">
              <w:rPr>
                <w:rFonts w:eastAsia="Times New Roman"/>
              </w:rPr>
              <w:lastRenderedPageBreak/>
              <w:t>Cmin</w:t>
            </w:r>
            <w:proofErr w:type="spellEnd"/>
            <w:r w:rsidRPr="00AD4F79">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proofErr w:type="spellStart"/>
            <w:r w:rsidRPr="00AD4F79">
              <w:rPr>
                <w:rFonts w:eastAsia="Times New Roman"/>
              </w:rPr>
              <w:t>Ci</w:t>
            </w:r>
            <w:proofErr w:type="spellEnd"/>
            <w:r w:rsidRPr="00AD4F79">
              <w:rPr>
                <w:rFonts w:eastAsia="Times New Roman"/>
              </w:rPr>
              <w:t xml:space="preserve"> - предложение i-</w:t>
            </w:r>
            <w:proofErr w:type="spellStart"/>
            <w:r w:rsidRPr="00AD4F79">
              <w:rPr>
                <w:rFonts w:eastAsia="Times New Roman"/>
              </w:rPr>
              <w:t>го</w:t>
            </w:r>
            <w:proofErr w:type="spellEnd"/>
            <w:r w:rsidRPr="00AD4F79">
              <w:rPr>
                <w:rFonts w:eastAsia="Times New Roman"/>
              </w:rPr>
              <w:t xml:space="preserve">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proofErr w:type="spellStart"/>
            <w:r w:rsidRPr="00AD4F79">
              <w:rPr>
                <w:rFonts w:eastAsia="Times New Roman"/>
              </w:rPr>
              <w:t>K</w:t>
            </w:r>
            <w:r w:rsidRPr="00AD4F79">
              <w:rPr>
                <w:rFonts w:eastAsia="Times New Roman"/>
                <w:vertAlign w:val="subscript"/>
              </w:rPr>
              <w:t>z</w:t>
            </w:r>
            <w:proofErr w:type="spellEnd"/>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 xml:space="preserve">извещение о </w:t>
            </w:r>
            <w:r w:rsidR="00800DFC" w:rsidRPr="00AD4F79">
              <w:rPr>
                <w:rFonts w:eastAsia="Times New Roman"/>
              </w:rPr>
              <w:lastRenderedPageBreak/>
              <w:t>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lastRenderedPageBreak/>
              <w:t xml:space="preserve">Заказчик по собственной инициативе или в соответствии с запросом участника запроса предложений вправе принять решение о внесении </w:t>
            </w:r>
            <w:r w:rsidRPr="00AD4F79">
              <w:lastRenderedPageBreak/>
              <w:t>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proofErr w:type="gramStart"/>
            <w:r w:rsidRPr="00AD4F79">
              <w:t>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w:t>
            </w:r>
            <w:proofErr w:type="gramEnd"/>
            <w:r w:rsidRPr="00AD4F79">
              <w:t xml:space="preserve">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 xml:space="preserve">Подача заявок на участие </w:t>
            </w:r>
            <w:proofErr w:type="gramStart"/>
            <w:r w:rsidRPr="00AD4F79">
              <w:t>запросе</w:t>
            </w:r>
            <w:proofErr w:type="gramEnd"/>
            <w:r w:rsidRPr="00AD4F79">
              <w:t xml:space="preserve">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proofErr w:type="gramStart"/>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w:t>
            </w:r>
            <w:proofErr w:type="gramEnd"/>
            <w:r w:rsidRPr="00AD4F79">
              <w:t xml:space="preserve">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proofErr w:type="gramStart"/>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sidRPr="00AD4F79">
              <w:rPr>
                <w:rFonts w:eastAsia="Times New Roman"/>
              </w:rPr>
              <w:t xml:space="preserve"> информацию и документы, а именно:</w:t>
            </w:r>
          </w:p>
          <w:p w:rsidR="00C03E71" w:rsidRPr="00AD4F79" w:rsidRDefault="00C03E71" w:rsidP="00036EF3">
            <w:pPr>
              <w:ind w:firstLine="573"/>
            </w:pPr>
            <w:proofErr w:type="gramStart"/>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roofErr w:type="gramEnd"/>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w:t>
            </w:r>
            <w:proofErr w:type="gramStart"/>
            <w:r w:rsidR="00B844B8" w:rsidRPr="00AD4F79">
              <w:t>ь</w:t>
            </w:r>
            <w:r w:rsidR="00B844B8" w:rsidRPr="00AD4F79">
              <w:rPr>
                <w:rFonts w:eastAsia="Times New Roman"/>
              </w:rPr>
              <w:t>(</w:t>
            </w:r>
            <w:proofErr w:type="gramEnd"/>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proofErr w:type="gramStart"/>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w:t>
            </w:r>
            <w:proofErr w:type="gramEnd"/>
            <w:r w:rsidR="00B844B8" w:rsidRPr="00AD4F79">
              <w:rPr>
                <w:rStyle w:val="a5"/>
                <w:rFonts w:eastAsia="Times New Roman"/>
              </w:rPr>
              <w:t xml:space="preserve">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proofErr w:type="gramStart"/>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AD4F79">
              <w:rPr>
                <w:rFonts w:eastAsia="Times New Roman"/>
              </w:rPr>
              <w:t>пп</w:t>
            </w:r>
            <w:proofErr w:type="spellEnd"/>
            <w:r w:rsidRPr="00AD4F79">
              <w:rPr>
                <w:rFonts w:eastAsia="Times New Roman"/>
              </w:rPr>
              <w:t xml:space="preserve">.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roofErr w:type="gramEnd"/>
          </w:p>
          <w:p w:rsidR="00C03E71" w:rsidRPr="00AD4F79" w:rsidRDefault="003435FC" w:rsidP="00036EF3">
            <w:pPr>
              <w:ind w:firstLine="573"/>
            </w:pPr>
            <w:proofErr w:type="gramStart"/>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AD4F79">
              <w:t xml:space="preserve"> </w:t>
            </w:r>
            <w:proofErr w:type="gramStart"/>
            <w:r w:rsidR="00370D83" w:rsidRPr="00AD4F79">
              <w:t>извещении</w:t>
            </w:r>
            <w:proofErr w:type="gramEnd"/>
            <w:r w:rsidR="00370D83" w:rsidRPr="00AD4F79">
              <w:t xml:space="preserve">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1) </w:t>
            </w:r>
            <w:proofErr w:type="spellStart"/>
            <w:r w:rsidRPr="00AD4F79">
              <w:rPr>
                <w:rFonts w:eastAsia="Times New Roman"/>
                <w:lang w:eastAsia="ru-RU"/>
              </w:rPr>
              <w:t>непроведение</w:t>
            </w:r>
            <w:proofErr w:type="spellEnd"/>
            <w:r w:rsidRPr="00AD4F79">
              <w:rPr>
                <w:rFonts w:eastAsia="Times New Roman"/>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w:t>
            </w:r>
            <w:proofErr w:type="spellStart"/>
            <w:r w:rsidRPr="00AD4F79">
              <w:rPr>
                <w:rFonts w:eastAsia="Times New Roman"/>
                <w:lang w:eastAsia="ru-RU"/>
              </w:rPr>
              <w:t>неприостановление</w:t>
            </w:r>
            <w:proofErr w:type="spellEnd"/>
            <w:r w:rsidRPr="00AD4F79">
              <w:rPr>
                <w:rFonts w:eastAsia="Times New Roman"/>
                <w:lang w:eastAsia="ru-RU"/>
              </w:rPr>
              <w:t xml:space="preserve">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D4F79">
              <w:rPr>
                <w:rFonts w:eastAsia="Times New Roman"/>
                <w:lang w:eastAsia="ru-RU"/>
              </w:rPr>
              <w:t xml:space="preserve"> вступившее в законную силу решение суда о признании обязанности </w:t>
            </w:r>
            <w:proofErr w:type="gramStart"/>
            <w:r w:rsidRPr="00AD4F79">
              <w:rPr>
                <w:rFonts w:eastAsia="Times New Roman"/>
                <w:lang w:eastAsia="ru-RU"/>
              </w:rPr>
              <w:t>заявителя</w:t>
            </w:r>
            <w:proofErr w:type="gramEnd"/>
            <w:r w:rsidRPr="00AD4F79">
              <w:rPr>
                <w:rFonts w:eastAsia="Times New Roman"/>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D4F79">
              <w:rPr>
                <w:rFonts w:eastAsia="Times New Roman"/>
                <w:lang w:eastAsia="ru-RU"/>
              </w:rPr>
              <w:t xml:space="preserve">, </w:t>
            </w:r>
            <w:proofErr w:type="gramStart"/>
            <w:r w:rsidRPr="00AD4F79">
              <w:rPr>
                <w:rFonts w:eastAsia="Times New Roman"/>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AD4F79">
              <w:rPr>
                <w:rFonts w:eastAsia="Times New Roman"/>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proofErr w:type="gramStart"/>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AD4F79">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Pr="00AD4F79" w:rsidRDefault="00036EF3" w:rsidP="00036EF3">
            <w:pPr>
              <w:suppressAutoHyphens w:val="0"/>
              <w:ind w:firstLine="573"/>
            </w:pPr>
            <w:proofErr w:type="gramStart"/>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roofErr w:type="gramEnd"/>
          </w:p>
          <w:p w:rsidR="00C03E71" w:rsidRPr="00AD4F79" w:rsidRDefault="00C03E71">
            <w:pPr>
              <w:overflowPunct w:val="0"/>
              <w:autoSpaceDE w:val="0"/>
              <w:ind w:firstLine="567"/>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 xml:space="preserve">Требования к </w:t>
            </w:r>
            <w:r w:rsidRPr="00AD4F79">
              <w:rPr>
                <w:rFonts w:eastAsia="Times New Roman"/>
              </w:rPr>
              <w:lastRenderedPageBreak/>
              <w:t>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lastRenderedPageBreak/>
              <w:t>Указывается в первой части Заявки.</w:t>
            </w:r>
          </w:p>
          <w:p w:rsidR="00C03E71" w:rsidRPr="00AD4F79" w:rsidRDefault="00C03E71">
            <w:pPr>
              <w:ind w:firstLine="486"/>
              <w:rPr>
                <w:rFonts w:eastAsia="Times New Roman"/>
              </w:rPr>
            </w:pPr>
            <w:r w:rsidRPr="00AD4F79">
              <w:rPr>
                <w:rFonts w:eastAsia="Times New Roman"/>
              </w:rPr>
              <w:lastRenderedPageBreak/>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w:t>
            </w:r>
            <w:proofErr w:type="gramStart"/>
            <w:r w:rsidRPr="00AD4F79">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rsidRPr="00AD4F79">
              <w:t xml:space="preserve">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 xml:space="preserve">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AD4F79">
              <w:t>апостиль</w:t>
            </w:r>
            <w:proofErr w:type="spellEnd"/>
            <w:r w:rsidRPr="00AD4F79">
              <w:t xml:space="preserve">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lastRenderedPageBreak/>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w:t>
            </w:r>
            <w:proofErr w:type="gramStart"/>
            <w:r w:rsidRPr="00AD4F79">
              <w:rPr>
                <w:rFonts w:eastAsia="Times New Roman"/>
              </w:rPr>
              <w:t xml:space="preserve">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3D157B">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sidRPr="00AD4F79">
              <w:rPr>
                <w:rFonts w:eastAsia="Times New Roman"/>
              </w:rPr>
              <w:t xml:space="preserve">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proofErr w:type="gramStart"/>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w:t>
            </w:r>
            <w:proofErr w:type="gramEnd"/>
            <w:r w:rsidR="00883B68" w:rsidRPr="00AD4F79">
              <w:rPr>
                <w:rFonts w:eastAsia="Times New Roman"/>
              </w:rPr>
              <w:t xml:space="preserve">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proofErr w:type="gramStart"/>
            <w:r w:rsidRPr="00AD4F79">
              <w:rPr>
                <w:rFonts w:eastAsia="Times New Roman"/>
              </w:rPr>
              <w:t>1.</w:t>
            </w:r>
            <w:r w:rsidR="00DD73CC" w:rsidRPr="00AD4F79">
              <w:rPr>
                <w:rFonts w:eastAsia="Times New Roman"/>
              </w:rPr>
              <w:t xml:space="preserve">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w:t>
            </w:r>
            <w:r w:rsidR="00DD73CC" w:rsidRPr="00AD4F79">
              <w:rPr>
                <w:rFonts w:eastAsia="Times New Roman"/>
              </w:rPr>
              <w:lastRenderedPageBreak/>
              <w:t>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 xml:space="preserve">4. Отказ </w:t>
            </w:r>
            <w:proofErr w:type="gramStart"/>
            <w:r w:rsidR="00C03E71" w:rsidRPr="00AD4F79">
              <w:rPr>
                <w:rFonts w:eastAsia="Times New Roman"/>
              </w:rPr>
              <w:t>в допуске к участию в запросе предложений в электронной форме по основаниям</w:t>
            </w:r>
            <w:proofErr w:type="gramEnd"/>
            <w:r w:rsidR="00C03E71" w:rsidRPr="00AD4F79">
              <w:rPr>
                <w:rFonts w:eastAsia="Times New Roman"/>
              </w:rPr>
              <w:t>,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w:t>
            </w:r>
            <w:proofErr w:type="gramStart"/>
            <w:r w:rsidR="00C03E71" w:rsidRPr="00AD4F79">
              <w:rPr>
                <w:rFonts w:eastAsia="Times New Roman"/>
              </w:rPr>
              <w:t>несостоявшимся</w:t>
            </w:r>
            <w:proofErr w:type="gramEnd"/>
            <w:r w:rsidR="00C03E71" w:rsidRPr="00AD4F79">
              <w:rPr>
                <w:rFonts w:eastAsia="Times New Roman"/>
              </w:rPr>
              <w:t>.</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proofErr w:type="gramStart"/>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w:t>
            </w:r>
            <w:proofErr w:type="gramEnd"/>
            <w:r w:rsidR="00D029A0" w:rsidRPr="00AD4F79">
              <w:t xml:space="preserve">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w:t>
            </w:r>
            <w:proofErr w:type="gramStart"/>
            <w:r w:rsidR="00C03E71" w:rsidRPr="00AD4F79">
              <w:t xml:space="preserve">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w:t>
            </w:r>
            <w:proofErr w:type="gramEnd"/>
            <w:r w:rsidR="0057084D" w:rsidRPr="00AD4F79">
              <w:t xml:space="preserve"> </w:t>
            </w:r>
            <w:proofErr w:type="gramStart"/>
            <w:r w:rsidR="0057084D" w:rsidRPr="00AD4F79">
              <w:t>закупках</w:t>
            </w:r>
            <w:proofErr w:type="gramEnd"/>
            <w:r w:rsidR="0057084D" w:rsidRPr="00AD4F79">
              <w:t>.</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proofErr w:type="gramStart"/>
            <w:r w:rsidRPr="00AD4F79">
              <w:t>2</w:t>
            </w:r>
            <w:r w:rsidR="00BB08E4" w:rsidRPr="00AD4F79">
              <w:t>.4</w:t>
            </w:r>
            <w:r w:rsidR="00B970AB" w:rsidRPr="00AD4F79">
              <w:t xml:space="preserve">.1. не предоставление документов и информации, предусмотренных извещением и/или документацией о проведении </w:t>
            </w:r>
            <w:r w:rsidR="00B970AB" w:rsidRPr="00AD4F79">
              <w:lastRenderedPageBreak/>
              <w:t>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xml:space="preserve">. Отказ </w:t>
            </w:r>
            <w:proofErr w:type="gramStart"/>
            <w:r w:rsidR="00B970AB" w:rsidRPr="00AD4F79">
              <w:t>в допуске к участию в запросе предложений в электронной форме по основаниям</w:t>
            </w:r>
            <w:proofErr w:type="gramEnd"/>
            <w:r w:rsidR="00B970AB" w:rsidRPr="00AD4F79">
              <w:t>,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w:t>
            </w:r>
            <w:proofErr w:type="gramStart"/>
            <w:r w:rsidR="0057084D" w:rsidRPr="00AD4F79">
              <w:t>согласно пункта</w:t>
            </w:r>
            <w:proofErr w:type="gramEnd"/>
            <w:r w:rsidR="0057084D" w:rsidRPr="00AD4F79">
              <w:t xml:space="preserve">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 xml:space="preserve">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rsidR="00B970AB" w:rsidRPr="00AD4F79">
              <w:t>форме</w:t>
            </w:r>
            <w:proofErr w:type="gramEnd"/>
            <w:r w:rsidR="00B970AB" w:rsidRPr="00AD4F79">
              <w:t xml:space="preserve">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w:t>
            </w:r>
            <w:proofErr w:type="gramStart"/>
            <w:r w:rsidR="00B970AB" w:rsidRPr="00AD4F79">
              <w:t>,</w:t>
            </w:r>
            <w:proofErr w:type="gramEnd"/>
            <w:r w:rsidR="00B970AB" w:rsidRPr="00AD4F79">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 xml:space="preserve">Оценка указанных заявок не осуществляется в случае признания запроса предложений в электронной форме не </w:t>
            </w:r>
            <w:proofErr w:type="gramStart"/>
            <w:r w:rsidR="00B970AB" w:rsidRPr="00AD4F79">
              <w:t>состоявшимся</w:t>
            </w:r>
            <w:proofErr w:type="gramEnd"/>
            <w:r w:rsidR="00B970AB" w:rsidRPr="00AD4F79">
              <w:t>.</w:t>
            </w:r>
          </w:p>
          <w:p w:rsidR="00B970AB" w:rsidRPr="00AD4F79" w:rsidRDefault="001F0B7F" w:rsidP="00B970AB">
            <w:pPr>
              <w:autoSpaceDE w:val="0"/>
              <w:ind w:firstLine="432"/>
            </w:pPr>
            <w:r w:rsidRPr="00AD4F79">
              <w:t>2</w:t>
            </w:r>
            <w:r w:rsidR="00BB08E4" w:rsidRPr="00AD4F79">
              <w:t>.10</w:t>
            </w:r>
            <w:r w:rsidR="00B970AB" w:rsidRPr="00AD4F79">
              <w:t>. В случае</w:t>
            </w:r>
            <w:proofErr w:type="gramStart"/>
            <w:r w:rsidR="00B970AB" w:rsidRPr="00AD4F79">
              <w:t>,</w:t>
            </w:r>
            <w:proofErr w:type="gramEnd"/>
            <w:r w:rsidR="00B970AB" w:rsidRPr="00AD4F79">
              <w:t xml:space="preserve">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w:t>
            </w:r>
            <w:proofErr w:type="gramStart"/>
            <w:r w:rsidR="00BB08E4" w:rsidRPr="00AD4F79">
              <w:t>и</w:t>
            </w:r>
            <w:proofErr w:type="gramEnd"/>
            <w:r w:rsidR="00BB08E4" w:rsidRPr="00AD4F79">
              <w:t xml:space="preserve"> одного рабочего дня подводит итоги закупки, </w:t>
            </w:r>
            <w:r w:rsidR="00BB08E4" w:rsidRPr="00AD4F79">
              <w:lastRenderedPageBreak/>
              <w:t>путем установления итогового рейтинга заявок.</w:t>
            </w:r>
          </w:p>
          <w:p w:rsidR="00C03E71" w:rsidRPr="00AD4F79" w:rsidRDefault="001F0B7F" w:rsidP="00EC47DD">
            <w:pPr>
              <w:autoSpaceDE w:val="0"/>
              <w:ind w:firstLine="432"/>
            </w:pPr>
            <w:r w:rsidRPr="00AD4F79">
              <w:t>3</w:t>
            </w:r>
            <w:r w:rsidR="00BB08E4" w:rsidRPr="00AD4F79">
              <w:t xml:space="preserve">.2.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rsidR="00BB08E4" w:rsidRPr="00AD4F79">
              <w:t>предложений</w:t>
            </w:r>
            <w:proofErr w:type="gramEnd"/>
            <w:r w:rsidR="00BB08E4" w:rsidRPr="00AD4F79">
              <w:t xml:space="preserve">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proofErr w:type="gramStart"/>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w:t>
            </w:r>
            <w:proofErr w:type="gramEnd"/>
            <w:r w:rsidR="00EC47DD" w:rsidRPr="00AD4F79">
              <w:t xml:space="preserve">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proofErr w:type="gramStart"/>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w:t>
            </w:r>
            <w:proofErr w:type="gramEnd"/>
            <w:r w:rsidR="007075E9" w:rsidRPr="00AD4F79">
              <w:t xml:space="preserve">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proofErr w:type="gramStart"/>
            <w:r w:rsidR="007075E9" w:rsidRPr="00AD4F79">
              <w:t>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w:t>
            </w:r>
            <w:proofErr w:type="gramEnd"/>
            <w:r w:rsidR="007075E9" w:rsidRPr="00AD4F79">
              <w:t xml:space="preserve">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w:t>
            </w:r>
            <w:proofErr w:type="gramStart"/>
            <w:r w:rsidR="007075E9" w:rsidRPr="00AD4F79">
              <w:t xml:space="preserve">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roofErr w:type="gramEnd"/>
          </w:p>
          <w:p w:rsidR="007075E9" w:rsidRPr="00AD4F79" w:rsidRDefault="00C03E71" w:rsidP="007075E9">
            <w:pPr>
              <w:autoSpaceDE w:val="0"/>
              <w:ind w:firstLine="709"/>
            </w:pPr>
            <w:r w:rsidRPr="00AD4F79">
              <w:t xml:space="preserve">5. </w:t>
            </w:r>
            <w:proofErr w:type="gramStart"/>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w:t>
            </w:r>
            <w:proofErr w:type="gramEnd"/>
            <w:r w:rsidR="007075E9" w:rsidRPr="00AD4F79">
              <w:t xml:space="preserve"> </w:t>
            </w:r>
            <w:proofErr w:type="gramStart"/>
            <w:r w:rsidR="007075E9" w:rsidRPr="00AD4F79">
              <w:t xml:space="preserve">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roofErr w:type="gramEnd"/>
          </w:p>
          <w:p w:rsidR="00186942" w:rsidRPr="00AD4F79" w:rsidRDefault="00C03E71" w:rsidP="008953C6">
            <w:pPr>
              <w:autoSpaceDE w:val="0"/>
              <w:ind w:firstLine="709"/>
            </w:pPr>
            <w:r w:rsidRPr="00AD4F79">
              <w:t xml:space="preserve">6. </w:t>
            </w:r>
            <w:proofErr w:type="gramStart"/>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w:t>
            </w:r>
            <w:proofErr w:type="gramEnd"/>
            <w:r w:rsidR="00186942" w:rsidRPr="00AD4F79">
              <w:t xml:space="preserve">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8. В течени</w:t>
            </w:r>
            <w:proofErr w:type="gramStart"/>
            <w:r w:rsidRPr="00AD4F79">
              <w:t>и</w:t>
            </w:r>
            <w:proofErr w:type="gramEnd"/>
            <w:r w:rsidRPr="00AD4F79">
              <w:t xml:space="preserve">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 xml:space="preserve">Договор по результатам проведения конкурентной закупки Заказчик заключает не ранее чем через 10 дней и не позднее чем через 20 дней </w:t>
            </w:r>
            <w:proofErr w:type="gramStart"/>
            <w:r w:rsidR="00223391" w:rsidRPr="00AD4F79">
              <w:t>с даты размещения</w:t>
            </w:r>
            <w:proofErr w:type="gramEnd"/>
            <w:r w:rsidR="00223391" w:rsidRPr="00AD4F79">
              <w:t xml:space="preserve">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107E58" w:rsidP="0004477D">
            <w:pPr>
              <w:widowControl w:val="0"/>
              <w:tabs>
                <w:tab w:val="left" w:pos="-5245"/>
              </w:tabs>
              <w:ind w:left="147" w:right="74"/>
            </w:pPr>
            <w:proofErr w:type="gramStart"/>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w:t>
            </w:r>
            <w:r w:rsidRPr="000C2AA2">
              <w:rPr>
                <w:lang w:eastAsia="ru-RU"/>
              </w:rPr>
              <w:t>Товара (по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roofErr w:type="gramEnd"/>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В случае</w:t>
            </w:r>
            <w:proofErr w:type="gramStart"/>
            <w:r w:rsidRPr="00AD4F79">
              <w:rPr>
                <w:rFonts w:eastAsia="Times New Roman"/>
              </w:rPr>
              <w:t>,</w:t>
            </w:r>
            <w:proofErr w:type="gramEnd"/>
            <w:r w:rsidRPr="00AD4F79">
              <w:rPr>
                <w:rFonts w:eastAsia="Times New Roman"/>
              </w:rPr>
              <w:t xml:space="preserve">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proofErr w:type="gramStart"/>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w:t>
            </w:r>
            <w:proofErr w:type="gramEnd"/>
            <w:r w:rsidRPr="00AD4F79">
              <w:rPr>
                <w:rFonts w:eastAsia="Times New Roman"/>
              </w:rPr>
              <w:t xml:space="preserve">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w:t>
            </w:r>
            <w:proofErr w:type="gramStart"/>
            <w:r w:rsidRPr="00AD4F79">
              <w:rPr>
                <w:rFonts w:eastAsia="Times New Roman"/>
              </w:rPr>
              <w:t>с даты поступления</w:t>
            </w:r>
            <w:proofErr w:type="gramEnd"/>
            <w:r w:rsidRPr="00AD4F79">
              <w:rPr>
                <w:rFonts w:eastAsia="Times New Roman"/>
              </w:rPr>
              <w:t xml:space="preserve">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proofErr w:type="gramStart"/>
      <w:r>
        <w:rPr>
          <w:rFonts w:eastAsia="Times New Roman"/>
        </w:rPr>
        <w:t>размещенное</w:t>
      </w:r>
      <w:proofErr w:type="gramEnd"/>
      <w:r>
        <w:rPr>
          <w:rFonts w:eastAsia="Times New Roman"/>
        </w:rPr>
        <w:t xml:space="preserve">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 xml:space="preserve">запроса предложений в электронной форме для субъектов малого и среднего предпринимательства </w:t>
      </w:r>
      <w:proofErr w:type="gramStart"/>
      <w:r w:rsidR="00CC1142">
        <w:rPr>
          <w:rFonts w:eastAsia="Times New Roman"/>
          <w:lang w:eastAsia="ru-RU"/>
        </w:rPr>
        <w:t>на</w:t>
      </w:r>
      <w:proofErr w:type="gramEnd"/>
      <w:r w:rsidR="00CC1142">
        <w:rPr>
          <w:rFonts w:eastAsia="Times New Roman"/>
          <w:lang w:eastAsia="ru-RU"/>
        </w:rPr>
        <w:t xml:space="preserve">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 xml:space="preserve">Ед. </w:t>
            </w:r>
            <w:proofErr w:type="spellStart"/>
            <w:r>
              <w:rPr>
                <w:b/>
                <w:bCs/>
              </w:rPr>
              <w:t>имз</w:t>
            </w:r>
            <w:proofErr w:type="spellEnd"/>
            <w:r>
              <w:rPr>
                <w:b/>
                <w:bCs/>
              </w:rPr>
              <w:t>.</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proofErr w:type="gramStart"/>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107E58">
        <w:rPr>
          <w:rFonts w:eastAsia="Times New Roman"/>
          <w:i/>
          <w:sz w:val="20"/>
          <w:szCs w:val="20"/>
        </w:rPr>
        <w:t>, 1.2</w:t>
      </w:r>
      <w:r w:rsidR="00AD4F79" w:rsidRPr="00AD4F79">
        <w:rPr>
          <w:rFonts w:eastAsia="Times New Roman"/>
          <w:i/>
          <w:sz w:val="20"/>
          <w:szCs w:val="20"/>
        </w:rPr>
        <w:t>)</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 2.5, 2.6</w:t>
      </w:r>
      <w:r w:rsidR="00107E58">
        <w:rPr>
          <w:rFonts w:eastAsia="Times New Roman"/>
          <w:i/>
          <w:sz w:val="20"/>
          <w:szCs w:val="20"/>
        </w:rPr>
        <w:t>, 2.7, 2.8, 2.9</w:t>
      </w:r>
      <w:r w:rsidR="00743E72" w:rsidRPr="00AD4F79">
        <w:rPr>
          <w:rFonts w:eastAsia="Times New Roman"/>
          <w:i/>
          <w:sz w:val="20"/>
          <w:szCs w:val="20"/>
        </w:rPr>
        <w:t>), п.3(3.1</w:t>
      </w:r>
      <w:r w:rsidR="00A11E96" w:rsidRPr="00AD4F79">
        <w:rPr>
          <w:rFonts w:eastAsia="Times New Roman"/>
          <w:i/>
          <w:sz w:val="20"/>
          <w:szCs w:val="20"/>
        </w:rPr>
        <w:t>, 3.2, 3.3</w:t>
      </w:r>
      <w:r w:rsidR="00D37F27" w:rsidRPr="00AD4F79">
        <w:rPr>
          <w:rFonts w:eastAsia="Times New Roman"/>
          <w:i/>
          <w:sz w:val="20"/>
          <w:szCs w:val="20"/>
        </w:rPr>
        <w:t>)</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roofErr w:type="gramEnd"/>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w:t>
      </w:r>
      <w:proofErr w:type="gramStart"/>
      <w:r w:rsidRPr="00AD4F79">
        <w:rPr>
          <w:rFonts w:eastAsia="Times New Roman"/>
          <w:i/>
          <w:color w:val="C00000"/>
          <w:lang w:eastAsia="ru-RU"/>
        </w:rPr>
        <w:t xml:space="preserve">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(1.1</w:t>
      </w:r>
      <w:r w:rsidR="00107E58" w:rsidRPr="00107E58">
        <w:rPr>
          <w:rFonts w:eastAsia="Times New Roman"/>
          <w:i/>
          <w:color w:val="C00000"/>
          <w:sz w:val="20"/>
          <w:szCs w:val="20"/>
        </w:rPr>
        <w:t>, 1.2), п. 2(2.1, 2.2, 2.3, 2.4, 2.5, 2.6, 2.7, 2.8, 2.9), п.3(3.1, 3.2, 3.3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w:t>
      </w:r>
      <w:proofErr w:type="gramStart"/>
      <w:r w:rsidR="00DA186D" w:rsidRPr="00DA186D">
        <w:rPr>
          <w:rFonts w:eastAsia="Times New Roman"/>
          <w:sz w:val="22"/>
          <w:szCs w:val="22"/>
        </w:rPr>
        <w:t>на</w:t>
      </w:r>
      <w:proofErr w:type="gramEnd"/>
      <w:r w:rsidR="00DA186D" w:rsidRPr="00DA186D">
        <w:rPr>
          <w:rFonts w:eastAsia="Times New Roman"/>
          <w:sz w:val="22"/>
          <w:szCs w:val="22"/>
        </w:rPr>
        <w:t xml:space="preserve">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w:t>
            </w:r>
            <w:proofErr w:type="spellStart"/>
            <w:r w:rsidRPr="008A33C2">
              <w:rPr>
                <w:iCs/>
                <w:color w:val="000000"/>
                <w:sz w:val="20"/>
                <w:szCs w:val="20"/>
              </w:rPr>
              <w:t>т.ч</w:t>
            </w:r>
            <w:proofErr w:type="spellEnd"/>
            <w:r w:rsidRPr="008A33C2">
              <w:rPr>
                <w:iCs/>
                <w:color w:val="000000"/>
                <w:sz w:val="20"/>
                <w:szCs w:val="20"/>
              </w:rPr>
              <w:t xml:space="preserve">. НДС </w:t>
            </w:r>
            <w:r w:rsidRPr="008A33C2">
              <w:rPr>
                <w:i/>
                <w:iCs/>
                <w:color w:val="000000"/>
                <w:sz w:val="20"/>
                <w:szCs w:val="20"/>
              </w:rPr>
              <w:t xml:space="preserve">(если участник размещения заказа имеет право на освобождение от уплаты НДС, то </w:t>
            </w:r>
            <w:proofErr w:type="gramStart"/>
            <w:r w:rsidRPr="008A33C2">
              <w:rPr>
                <w:i/>
                <w:iCs/>
                <w:color w:val="000000"/>
                <w:sz w:val="20"/>
                <w:szCs w:val="20"/>
              </w:rPr>
              <w:t>указывается НДС не облагается</w:t>
            </w:r>
            <w:proofErr w:type="gramEnd"/>
            <w:r w:rsidRPr="008A33C2">
              <w:rPr>
                <w:i/>
                <w:iCs/>
                <w:color w:val="000000"/>
                <w:sz w:val="20"/>
                <w:szCs w:val="20"/>
              </w:rPr>
              <w:t>)</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E82" w:rsidRDefault="00560E82">
      <w:r>
        <w:separator/>
      </w:r>
    </w:p>
  </w:endnote>
  <w:endnote w:type="continuationSeparator" w:id="0">
    <w:p w:rsidR="00560E82" w:rsidRDefault="00560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BC" w:rsidRDefault="00F510BC" w:rsidP="00B80539">
    <w:pPr>
      <w:pStyle w:val="af3"/>
      <w:jc w:val="right"/>
    </w:pPr>
    <w:r>
      <w:fldChar w:fldCharType="begin"/>
    </w:r>
    <w:r>
      <w:instrText xml:space="preserve"> PAGE </w:instrText>
    </w:r>
    <w:r>
      <w:fldChar w:fldCharType="separate"/>
    </w:r>
    <w:r w:rsidR="003D157B">
      <w:rPr>
        <w:noProof/>
      </w:rPr>
      <w:t>42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E82" w:rsidRDefault="00560E82">
      <w:r>
        <w:separator/>
      </w:r>
    </w:p>
  </w:footnote>
  <w:footnote w:type="continuationSeparator" w:id="0">
    <w:p w:rsidR="00560E82" w:rsidRDefault="00560E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3EDC"/>
    <w:rsid w:val="00146C73"/>
    <w:rsid w:val="00157B11"/>
    <w:rsid w:val="00162F2D"/>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127B7"/>
    <w:rsid w:val="002208A8"/>
    <w:rsid w:val="00223391"/>
    <w:rsid w:val="00223631"/>
    <w:rsid w:val="00236CCD"/>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3D157B"/>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B43C6-0527-4670-8993-6826D431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11682</Words>
  <Characters>66588</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78114</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2025-03-24T09:44:00Z</cp:lastPrinted>
  <dcterms:created xsi:type="dcterms:W3CDTF">2025-03-24T09:37:00Z</dcterms:created>
  <dcterms:modified xsi:type="dcterms:W3CDTF">2025-03-24T09:45:00Z</dcterms:modified>
</cp:coreProperties>
</file>