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Default="00237B04" w:rsidP="00237B04">
            <w:pPr>
              <w:widowControl w:val="0"/>
              <w:suppressAutoHyphens/>
              <w:autoSpaceDE w:val="0"/>
              <w:rPr>
                <w:b/>
                <w:lang w:eastAsia="zh-CN"/>
              </w:rPr>
            </w:pPr>
            <w:r>
              <w:rPr>
                <w:b/>
                <w:lang w:eastAsia="zh-CN"/>
              </w:rPr>
              <w:t>Заместитель генерального директора</w:t>
            </w:r>
          </w:p>
          <w:p w:rsidR="00237B04" w:rsidRPr="00921E1F" w:rsidRDefault="00237B04" w:rsidP="00237B04">
            <w:pPr>
              <w:widowControl w:val="0"/>
              <w:suppressAutoHyphens/>
              <w:autoSpaceDE w:val="0"/>
              <w:rPr>
                <w:b/>
                <w:lang w:eastAsia="zh-CN"/>
              </w:rPr>
            </w:pPr>
            <w:r>
              <w:rPr>
                <w:b/>
                <w:lang w:eastAsia="zh-CN"/>
              </w:rPr>
              <w:t>АО «УТС»</w:t>
            </w:r>
            <w:r w:rsidRPr="00921E1F">
              <w:rPr>
                <w:b/>
                <w:lang w:eastAsia="zh-CN"/>
              </w:rPr>
              <w:t xml:space="preserve"> </w:t>
            </w:r>
            <w:r>
              <w:rPr>
                <w:b/>
                <w:lang w:eastAsia="zh-CN"/>
              </w:rPr>
              <w:t>по производству</w:t>
            </w:r>
            <w:r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Pr>
                <w:b/>
                <w:lang w:eastAsia="zh-CN"/>
              </w:rPr>
              <w:t>П.Н. Захаров</w:t>
            </w:r>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331AD0">
      <w:pPr>
        <w:jc w:val="center"/>
      </w:pPr>
      <w:r w:rsidRPr="00CF5E43">
        <w:rPr>
          <w:b/>
          <w:sz w:val="28"/>
          <w:szCs w:val="28"/>
        </w:rPr>
        <w:t xml:space="preserve">на поставку </w:t>
      </w:r>
      <w:r w:rsidR="00B3147C">
        <w:rPr>
          <w:rFonts w:cs="Mangal"/>
          <w:b/>
          <w:kern w:val="2"/>
          <w:sz w:val="28"/>
          <w:szCs w:val="28"/>
          <w:lang w:eastAsia="zh-CN" w:bidi="hi-IN"/>
        </w:rPr>
        <w:t>моторных приводов</w:t>
      </w:r>
    </w:p>
    <w:p w:rsidR="00AA6202" w:rsidRDefault="00AA6202" w:rsidP="00C919B0"/>
    <w:p w:rsidR="00AA6202" w:rsidRDefault="00AA6202" w:rsidP="00C919B0"/>
    <w:p w:rsidR="00AA6202" w:rsidRDefault="00AA6202" w:rsidP="00C919B0"/>
    <w:p w:rsidR="00AA6202" w:rsidRDefault="00AA6202" w:rsidP="00C919B0"/>
    <w:p w:rsidR="00331AD0" w:rsidRDefault="00331AD0"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2E1AA6">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2E1AA6">
              <w:rPr>
                <w:lang w:eastAsia="zh-CN"/>
              </w:rPr>
              <w:t>1</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2E1AA6">
            <w:pPr>
              <w:widowControl w:val="0"/>
              <w:suppressAutoHyphens/>
              <w:autoSpaceDE w:val="0"/>
              <w:jc w:val="center"/>
              <w:rPr>
                <w:lang w:eastAsia="zh-CN"/>
              </w:rPr>
            </w:pPr>
            <w:r>
              <w:rPr>
                <w:lang w:eastAsia="zh-CN"/>
              </w:rPr>
              <w:t>2</w:t>
            </w:r>
            <w:r w:rsidR="002E1AA6">
              <w:rPr>
                <w:lang w:eastAsia="zh-CN"/>
              </w:rPr>
              <w:t>2</w:t>
            </w:r>
            <w:r>
              <w:rPr>
                <w:lang w:eastAsia="zh-CN"/>
              </w:rPr>
              <w:t>-2</w:t>
            </w:r>
            <w:r w:rsidR="002E1AA6">
              <w:rPr>
                <w:lang w:eastAsia="zh-CN"/>
              </w:rPr>
              <w:t>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2E1AA6">
            <w:pPr>
              <w:widowControl w:val="0"/>
              <w:suppressAutoHyphens/>
              <w:autoSpaceDE w:val="0"/>
              <w:jc w:val="center"/>
              <w:rPr>
                <w:lang w:eastAsia="zh-CN"/>
              </w:rPr>
            </w:pPr>
            <w:r>
              <w:rPr>
                <w:lang w:eastAsia="zh-CN"/>
              </w:rPr>
              <w:t>2</w:t>
            </w:r>
            <w:r w:rsidR="002E1AA6">
              <w:rPr>
                <w:lang w:eastAsia="zh-CN"/>
              </w:rPr>
              <w:t>6</w:t>
            </w:r>
            <w:r>
              <w:rPr>
                <w:lang w:eastAsia="zh-CN"/>
              </w:rPr>
              <w:t>-3</w:t>
            </w:r>
            <w:r w:rsidR="002E1AA6">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B3147C">
            <w:pPr>
              <w:widowControl w:val="0"/>
              <w:suppressAutoHyphens/>
              <w:autoSpaceDE w:val="0"/>
              <w:jc w:val="center"/>
              <w:rPr>
                <w:lang w:eastAsia="zh-CN"/>
              </w:rPr>
            </w:pPr>
            <w:r>
              <w:rPr>
                <w:lang w:eastAsia="zh-CN"/>
              </w:rPr>
              <w:t>3</w:t>
            </w:r>
            <w:r w:rsidR="002E1AA6">
              <w:rPr>
                <w:lang w:eastAsia="zh-CN"/>
              </w:rPr>
              <w:t>3</w:t>
            </w:r>
            <w:r>
              <w:rPr>
                <w:lang w:eastAsia="zh-CN"/>
              </w:rPr>
              <w:t>-</w:t>
            </w:r>
            <w:r w:rsidR="00B3147C">
              <w:rPr>
                <w:lang w:eastAsia="zh-CN"/>
              </w:rPr>
              <w:t>37</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B3147C" w:rsidP="00B3147C">
            <w:pPr>
              <w:widowControl w:val="0"/>
              <w:suppressAutoHyphens/>
              <w:autoSpaceDE w:val="0"/>
              <w:jc w:val="center"/>
              <w:rPr>
                <w:lang w:eastAsia="zh-CN"/>
              </w:rPr>
            </w:pPr>
            <w:r>
              <w:rPr>
                <w:lang w:eastAsia="zh-CN"/>
              </w:rPr>
              <w:t>38</w:t>
            </w:r>
            <w:r w:rsidR="004A4199">
              <w:rPr>
                <w:lang w:eastAsia="zh-CN"/>
              </w:rPr>
              <w:t>-</w:t>
            </w:r>
            <w:r>
              <w:rPr>
                <w:lang w:eastAsia="zh-CN"/>
              </w:rPr>
              <w:t>45</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B3147C" w:rsidP="00B3147C">
            <w:pPr>
              <w:widowControl w:val="0"/>
              <w:suppressAutoHyphens/>
              <w:autoSpaceDE w:val="0"/>
              <w:jc w:val="center"/>
              <w:rPr>
                <w:lang w:eastAsia="zh-CN"/>
              </w:rPr>
            </w:pPr>
            <w:r>
              <w:rPr>
                <w:lang w:eastAsia="zh-CN"/>
              </w:rPr>
              <w:t>46</w:t>
            </w:r>
            <w:r w:rsidR="002E1AA6">
              <w:rPr>
                <w:lang w:eastAsia="zh-CN"/>
              </w:rPr>
              <w:t>-</w:t>
            </w:r>
            <w:r>
              <w:rPr>
                <w:lang w:eastAsia="zh-CN"/>
              </w:rPr>
              <w:t>47</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B3147C"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w:t>
            </w:r>
            <w:proofErr w:type="gramStart"/>
            <w:r w:rsidRPr="000C0A1B">
              <w:rPr>
                <w:b/>
                <w:bCs/>
                <w:color w:val="000000"/>
                <w:lang w:eastAsia="en-US"/>
              </w:rPr>
              <w:t>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w:t>
            </w:r>
            <w:proofErr w:type="gramEnd"/>
            <w:r w:rsidRPr="000C0A1B">
              <w:rPr>
                <w:color w:val="000000"/>
                <w:lang w:eastAsia="en-US"/>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w:t>
            </w:r>
            <w:proofErr w:type="gramStart"/>
            <w:r w:rsidRPr="000C0A1B">
              <w:rPr>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roofErr w:type="gramEnd"/>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proofErr w:type="gramStart"/>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0C0A1B" w:rsidRDefault="00F24413" w:rsidP="00F24413">
            <w:pPr>
              <w:ind w:firstLine="567"/>
              <w:jc w:val="both"/>
            </w:pPr>
            <w:proofErr w:type="gramStart"/>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w:t>
            </w:r>
            <w:proofErr w:type="gramEnd"/>
            <w:r w:rsidRPr="000C0A1B">
              <w:t xml:space="preserve"> </w:t>
            </w:r>
            <w:proofErr w:type="gramStart"/>
            <w:r w:rsidRPr="000C0A1B">
              <w:t>целях</w:t>
            </w:r>
            <w:proofErr w:type="gramEnd"/>
            <w:r w:rsidRPr="000C0A1B">
              <w:t xml:space="preserve">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proofErr w:type="gramStart"/>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w:t>
            </w:r>
            <w:proofErr w:type="gramEnd"/>
            <w:r w:rsidR="00996D38" w:rsidRPr="000C0A1B">
              <w:rPr>
                <w:color w:val="000000"/>
                <w:lang w:eastAsia="en-US"/>
              </w:rPr>
              <w:t xml:space="preserve"> </w:t>
            </w:r>
            <w:proofErr w:type="gramStart"/>
            <w:r w:rsidR="00996D38" w:rsidRPr="000C0A1B">
              <w:rPr>
                <w:color w:val="000000"/>
                <w:lang w:eastAsia="en-US"/>
              </w:rPr>
              <w:t>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w:t>
            </w:r>
            <w:proofErr w:type="gramEnd"/>
            <w:r w:rsidR="00996D38" w:rsidRPr="000C0A1B">
              <w:rPr>
                <w:color w:val="000000"/>
                <w:lang w:eastAsia="en-US"/>
              </w:rPr>
              <w:t xml:space="preserve"> за деятельностью лиц, находящихся под иностранным влиянием».</w:t>
            </w:r>
          </w:p>
          <w:p w:rsidR="00F24413" w:rsidRPr="000C0A1B" w:rsidRDefault="00F24413" w:rsidP="00F24413">
            <w:pPr>
              <w:ind w:firstLine="567"/>
              <w:jc w:val="both"/>
            </w:pPr>
            <w:proofErr w:type="gramStart"/>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proofErr w:type="gramStart"/>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roofErr w:type="gramEnd"/>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E61204">
              <w:rPr>
                <w:bCs/>
              </w:rPr>
              <w:t>Заместитель н</w:t>
            </w:r>
            <w:r w:rsidRPr="000C0A1B">
              <w:rPr>
                <w:bCs/>
              </w:rPr>
              <w:t>ачальник</w:t>
            </w:r>
            <w:r w:rsidR="00E61204">
              <w:rPr>
                <w:bCs/>
              </w:rPr>
              <w:t>а</w:t>
            </w:r>
            <w:r w:rsidRPr="000C0A1B">
              <w:rPr>
                <w:bCs/>
              </w:rPr>
              <w:t xml:space="preserve"> отдела снабжения АО «УТС» </w:t>
            </w:r>
            <w:r w:rsidR="00E61204">
              <w:rPr>
                <w:bCs/>
              </w:rPr>
              <w:t>Гордеева Елена Викторовна</w:t>
            </w:r>
            <w:r w:rsidRPr="000C0A1B">
              <w:rPr>
                <w:bCs/>
              </w:rPr>
              <w:t xml:space="preserve"> тел. (3467) 32-69-89.</w:t>
            </w:r>
          </w:p>
          <w:p w:rsidR="00B0492F" w:rsidRPr="000C0A1B" w:rsidRDefault="00C467E9" w:rsidP="00B3147C">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B3147C">
              <w:t>Н</w:t>
            </w:r>
            <w:r w:rsidR="00331AD0">
              <w:t>ачальник</w:t>
            </w:r>
            <w:r w:rsidR="00B3147C">
              <w:t xml:space="preserve"> участка </w:t>
            </w:r>
            <w:proofErr w:type="spellStart"/>
            <w:r w:rsidR="00B3147C">
              <w:t>ЭиРЭ</w:t>
            </w:r>
            <w:proofErr w:type="spellEnd"/>
            <w:r w:rsidR="00331AD0">
              <w:t xml:space="preserve"> </w:t>
            </w:r>
            <w:proofErr w:type="spellStart"/>
            <w:r w:rsidR="00B3147C">
              <w:t>Рахматтулин</w:t>
            </w:r>
            <w:proofErr w:type="spellEnd"/>
            <w:r w:rsidR="00B3147C">
              <w:t xml:space="preserve"> Руслан </w:t>
            </w:r>
            <w:proofErr w:type="spellStart"/>
            <w:r w:rsidR="00B3147C">
              <w:t>Юрисович</w:t>
            </w:r>
            <w:proofErr w:type="spellEnd"/>
            <w:r w:rsidR="00C60FCB" w:rsidRPr="000C0A1B">
              <w:t xml:space="preserve"> тел. </w:t>
            </w:r>
            <w:r w:rsidR="00BA6EED" w:rsidRPr="000C0A1B">
              <w:t>8-90</w:t>
            </w:r>
            <w:r w:rsidR="00B3147C">
              <w:t>4</w:t>
            </w:r>
            <w:r w:rsidR="00331AD0">
              <w:t>-4</w:t>
            </w:r>
            <w:r w:rsidR="00B3147C">
              <w:t>66</w:t>
            </w:r>
            <w:r w:rsidR="00BA6EED" w:rsidRPr="000C0A1B">
              <w:t>-</w:t>
            </w:r>
            <w:r w:rsidR="00B3147C">
              <w:t>77</w:t>
            </w:r>
            <w:r w:rsidR="00BA6EED" w:rsidRPr="000C0A1B">
              <w:t>-</w:t>
            </w:r>
            <w:r w:rsidR="00B3147C">
              <w:t>49</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6" w:name="форма2"/>
            <w:bookmarkEnd w:id="5"/>
            <w:r w:rsidRPr="000C0A1B">
              <w:rPr>
                <w:bCs/>
              </w:rPr>
              <w:t xml:space="preserve">Особенности участия в закупке </w:t>
            </w:r>
            <w:bookmarkEnd w:id="6"/>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proofErr w:type="gramStart"/>
            <w:r w:rsidR="00CA3EFE" w:rsidRPr="000C0A1B">
              <w:rPr>
                <w:b/>
                <w:bCs/>
                <w:u w:val="single"/>
              </w:rPr>
              <w:t>участниками</w:t>
            </w:r>
            <w:proofErr w:type="gramEnd"/>
            <w:r w:rsidR="00CA3EFE" w:rsidRPr="000C0A1B">
              <w:rPr>
                <w:b/>
                <w:bCs/>
                <w:u w:val="single"/>
              </w:rPr>
              <w:t xml:space="preserve">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171525" w:rsidRDefault="007325A4" w:rsidP="00854B86">
            <w:pPr>
              <w:pStyle w:val="rvps1"/>
              <w:jc w:val="both"/>
              <w:rPr>
                <w:bCs/>
              </w:rPr>
            </w:pPr>
            <w:proofErr w:type="gramStart"/>
            <w:r w:rsidRPr="00171525">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171525">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roofErr w:type="gramEnd"/>
          </w:p>
        </w:tc>
        <w:tc>
          <w:tcPr>
            <w:tcW w:w="7654" w:type="dxa"/>
            <w:tcBorders>
              <w:top w:val="single" w:sz="4" w:space="0" w:color="auto"/>
              <w:left w:val="single" w:sz="4" w:space="0" w:color="auto"/>
              <w:bottom w:val="single" w:sz="4" w:space="0" w:color="auto"/>
              <w:right w:val="single" w:sz="4" w:space="0" w:color="auto"/>
            </w:tcBorders>
            <w:vAlign w:val="center"/>
          </w:tcPr>
          <w:p w:rsidR="00171525" w:rsidRPr="00171525" w:rsidRDefault="00171525" w:rsidP="00171525">
            <w:pPr>
              <w:pStyle w:val="Default"/>
              <w:jc w:val="both"/>
              <w:rPr>
                <w:bCs/>
              </w:rPr>
            </w:pPr>
            <w:proofErr w:type="gramStart"/>
            <w:r w:rsidRPr="00171525">
              <w:rPr>
                <w:bCs/>
              </w:rPr>
              <w:lastRenderedPageBreak/>
              <w:t xml:space="preserve">Не применяется: </w:t>
            </w:r>
            <w:proofErr w:type="spellStart"/>
            <w:r w:rsidRPr="00171525">
              <w:rPr>
                <w:bCs/>
              </w:rPr>
              <w:t>пп</w:t>
            </w:r>
            <w:proofErr w:type="spellEnd"/>
            <w:r w:rsidRPr="00171525">
              <w:rPr>
                <w:bCs/>
              </w:rPr>
              <w:t xml:space="preserve">.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w:t>
            </w:r>
            <w:proofErr w:type="spellStart"/>
            <w:r w:rsidRPr="00171525">
              <w:rPr>
                <w:bCs/>
              </w:rPr>
              <w:t>абз</w:t>
            </w:r>
            <w:proofErr w:type="spellEnd"/>
            <w:r w:rsidRPr="00171525">
              <w:rPr>
                <w:bCs/>
              </w:rPr>
              <w:t xml:space="preserve">. 2 </w:t>
            </w:r>
            <w:proofErr w:type="spellStart"/>
            <w:r w:rsidRPr="00171525">
              <w:rPr>
                <w:bCs/>
              </w:rPr>
              <w:t>пп</w:t>
            </w:r>
            <w:proofErr w:type="spellEnd"/>
            <w:r w:rsidRPr="00171525">
              <w:rPr>
                <w:bCs/>
              </w:rPr>
              <w:t>. «л» п. 4 Постановления № 1875.</w:t>
            </w:r>
            <w:proofErr w:type="gramEnd"/>
          </w:p>
          <w:p w:rsidR="00AD10EE" w:rsidRPr="00171525" w:rsidRDefault="00171525" w:rsidP="00171525">
            <w:pPr>
              <w:pStyle w:val="Default"/>
              <w:jc w:val="both"/>
              <w:rPr>
                <w:bCs/>
              </w:rPr>
            </w:pPr>
            <w:r w:rsidRPr="00171525">
              <w:rPr>
                <w:bCs/>
              </w:rPr>
              <w:t>Заказчик является организацией, осуществляющей регулируемый вид деятельности в сфере теплоснабжения.</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w:t>
            </w:r>
            <w:proofErr w:type="gramStart"/>
            <w:r w:rsidR="00C919B0" w:rsidRPr="000C0A1B">
              <w:t>находящейся</w:t>
            </w:r>
            <w:proofErr w:type="gramEnd"/>
            <w:r w:rsidR="00C919B0" w:rsidRPr="000C0A1B">
              <w:t xml:space="preserve">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3147C">
            <w:r w:rsidRPr="000C0A1B">
              <w:t>«</w:t>
            </w:r>
            <w:r w:rsidR="00B3147C">
              <w:t>10</w:t>
            </w:r>
            <w:r w:rsidR="00572570" w:rsidRPr="000C0A1B">
              <w:t>»</w:t>
            </w:r>
            <w:r w:rsidR="001D190A" w:rsidRPr="000C0A1B">
              <w:t xml:space="preserve"> </w:t>
            </w:r>
            <w:r w:rsidR="00331AD0">
              <w:t>марта</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w:t>
            </w:r>
            <w:proofErr w:type="gramStart"/>
            <w:r w:rsidRPr="000C0A1B">
              <w:t xml:space="preserve">подачи заявок участников </w:t>
            </w:r>
            <w:r w:rsidR="001776C2" w:rsidRPr="000C0A1B">
              <w:t>запроса котировок</w:t>
            </w:r>
            <w:proofErr w:type="gramEnd"/>
            <w:r w:rsidR="001776C2"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331AD0">
              <w:t>1</w:t>
            </w:r>
            <w:r w:rsidR="00B3147C">
              <w:t>7</w:t>
            </w:r>
            <w:r w:rsidRPr="000C0A1B">
              <w:t xml:space="preserve">» </w:t>
            </w:r>
            <w:r w:rsidR="00331AD0">
              <w:t>марта</w:t>
            </w:r>
            <w:r w:rsidR="000D39CD" w:rsidRPr="000C0A1B">
              <w:t xml:space="preserve"> </w:t>
            </w:r>
            <w:r w:rsidRPr="000C0A1B">
              <w:t>20</w:t>
            </w:r>
            <w:r w:rsidR="001F23B4" w:rsidRPr="000C0A1B">
              <w:t>2</w:t>
            </w:r>
            <w:r w:rsidR="000C0A1B">
              <w:t>5</w:t>
            </w:r>
            <w:r w:rsidRPr="000C0A1B">
              <w:t xml:space="preserve"> года </w:t>
            </w:r>
            <w:r w:rsidR="001F23B4" w:rsidRPr="000C0A1B">
              <w:t>0</w:t>
            </w:r>
            <w:r w:rsidR="00331AD0">
              <w:t>8</w:t>
            </w:r>
            <w:r w:rsidRPr="000C0A1B">
              <w:t>:</w:t>
            </w:r>
            <w:r w:rsidR="00331AD0">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331AD0">
              <w:t>1</w:t>
            </w:r>
            <w:r w:rsidR="00B3147C">
              <w:t>7</w:t>
            </w:r>
            <w:r w:rsidRPr="000C0A1B">
              <w:t>»</w:t>
            </w:r>
            <w:r w:rsidR="008A1E96" w:rsidRPr="000C0A1B">
              <w:t xml:space="preserve"> </w:t>
            </w:r>
            <w:r w:rsidR="00331AD0">
              <w:t>марта</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331AD0">
              <w:t>8</w:t>
            </w:r>
            <w:r w:rsidR="004402C9" w:rsidRPr="000C0A1B">
              <w:t>:</w:t>
            </w:r>
            <w:r w:rsidR="00331AD0">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331AD0">
              <w:t>1</w:t>
            </w:r>
            <w:r w:rsidR="00B3147C">
              <w:t>8</w:t>
            </w:r>
            <w:r w:rsidR="00C919B0" w:rsidRPr="000C0A1B">
              <w:t xml:space="preserve">» </w:t>
            </w:r>
            <w:r w:rsidR="00331AD0">
              <w:t>марта</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331AD0">
              <w:t>8</w:t>
            </w:r>
            <w:r w:rsidR="00322429" w:rsidRPr="000C0A1B">
              <w:t>:</w:t>
            </w:r>
            <w:r w:rsidR="00331AD0">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66607D" w:rsidRPr="000C0A1B" w:rsidRDefault="0066607D" w:rsidP="0066607D">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 гражданским законодательством.</w:t>
            </w:r>
          </w:p>
          <w:p w:rsidR="00C919B0" w:rsidRPr="000C0A1B" w:rsidRDefault="00C919B0" w:rsidP="0099699D">
            <w:pPr>
              <w:ind w:firstLine="317"/>
              <w:jc w:val="both"/>
              <w:rPr>
                <w:b/>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proofErr w:type="gramStart"/>
            <w:r w:rsidR="00E45947" w:rsidRPr="000C0A1B">
              <w:rPr>
                <w:color w:val="000000"/>
              </w:rPr>
              <w:t xml:space="preserve">с даты </w:t>
            </w:r>
            <w:r w:rsidRPr="000C0A1B">
              <w:rPr>
                <w:color w:val="000000"/>
              </w:rPr>
              <w:t>поступления</w:t>
            </w:r>
            <w:proofErr w:type="gramEnd"/>
            <w:r w:rsidRPr="000C0A1B">
              <w:rPr>
                <w:color w:val="000000"/>
              </w:rPr>
              <w:t xml:space="preserve">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 xml:space="preserve">Заказчик вправе не осуществлять такое разъяснение положений извещения о проведении запроса котировок, если запрос поступил </w:t>
            </w:r>
            <w:proofErr w:type="gramStart"/>
            <w:r w:rsidRPr="000C0A1B">
              <w:rPr>
                <w:color w:val="000000"/>
              </w:rPr>
              <w:t>позднее</w:t>
            </w:r>
            <w:proofErr w:type="gramEnd"/>
            <w:r w:rsidRPr="000C0A1B">
              <w:rPr>
                <w:color w:val="000000"/>
              </w:rPr>
              <w:t xml:space="preserve">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171525">
              <w:rPr>
                <w:b/>
              </w:rPr>
              <w:t>1</w:t>
            </w:r>
            <w:r w:rsidR="00B3147C">
              <w:rPr>
                <w:b/>
              </w:rPr>
              <w:t>7</w:t>
            </w:r>
            <w:r w:rsidRPr="000C0A1B">
              <w:rPr>
                <w:b/>
              </w:rPr>
              <w:t xml:space="preserve">» </w:t>
            </w:r>
            <w:r w:rsidR="00331AD0">
              <w:rPr>
                <w:b/>
              </w:rPr>
              <w:t>марта</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331AD0">
              <w:rPr>
                <w:b/>
              </w:rPr>
              <w:t>8</w:t>
            </w:r>
            <w:r w:rsidR="00B74F75" w:rsidRPr="000C0A1B">
              <w:rPr>
                <w:b/>
              </w:rPr>
              <w:t>:</w:t>
            </w:r>
            <w:r w:rsidR="00331AD0">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w:t>
            </w:r>
            <w:r w:rsidR="00B43F37" w:rsidRPr="000C0A1B">
              <w:lastRenderedPageBreak/>
              <w:t>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B3147C" w:rsidRPr="00B3147C">
              <w:rPr>
                <w:rFonts w:cs="Mangal"/>
                <w:b/>
                <w:kern w:val="2"/>
                <w:u w:val="single"/>
                <w:lang w:eastAsia="zh-CN" w:bidi="hi-IN"/>
              </w:rPr>
              <w:t>моторных приводов</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B3147C" w:rsidRPr="00B3147C">
              <w:rPr>
                <w:rFonts w:eastAsia="Times New Roman" w:cs="Mangal"/>
                <w:b/>
                <w:kern w:val="2"/>
                <w:u w:val="single"/>
                <w:lang w:eastAsia="zh-CN" w:bidi="hi-IN"/>
              </w:rPr>
              <w:t>моторных приводов</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C919B0" w:rsidRPr="000C0A1B"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C919B0" w:rsidRPr="000C0A1B">
              <w:rPr>
                <w:rFonts w:eastAsia="Times New Roman"/>
                <w:iCs/>
                <w:lang w:eastAsia="ru-RU"/>
              </w:rPr>
              <w:t>.</w:t>
            </w:r>
          </w:p>
          <w:p w:rsidR="00DB695F" w:rsidRPr="000C0A1B"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proofErr w:type="gramStart"/>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0C0A1B">
              <w:t xml:space="preserve"> </w:t>
            </w:r>
            <w:proofErr w:type="gramStart"/>
            <w:r w:rsidR="00690797" w:rsidRPr="000C0A1B">
              <w:t xml:space="preserve">товара, выполняемой работы, оказываемой услуги потребностям Заказчика (если Заказчиком в извещении о проведении запроса котировок не </w:t>
            </w:r>
            <w:r w:rsidR="00690797" w:rsidRPr="000C0A1B">
              <w:lastRenderedPageBreak/>
              <w:t xml:space="preserve">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w:t>
            </w:r>
            <w:proofErr w:type="gramEnd"/>
            <w:r w:rsidR="00AF6109" w:rsidRPr="000C0A1B">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B3147C">
              <w:rPr>
                <w:b/>
                <w:bCs/>
                <w:u w:val="single"/>
              </w:rPr>
              <w:t>500 560</w:t>
            </w:r>
            <w:r w:rsidR="00480F64">
              <w:rPr>
                <w:b/>
                <w:bCs/>
                <w:u w:val="single"/>
              </w:rPr>
              <w:t xml:space="preserve"> </w:t>
            </w:r>
            <w:r w:rsidR="00453BB7" w:rsidRPr="00453BB7">
              <w:rPr>
                <w:b/>
                <w:bCs/>
                <w:u w:val="single"/>
              </w:rPr>
              <w:t>(</w:t>
            </w:r>
            <w:r w:rsidR="00331AD0">
              <w:rPr>
                <w:b/>
                <w:bCs/>
                <w:u w:val="single"/>
              </w:rPr>
              <w:t xml:space="preserve">пятьсот тысяч </w:t>
            </w:r>
            <w:r w:rsidR="00B3147C">
              <w:rPr>
                <w:b/>
                <w:bCs/>
                <w:u w:val="single"/>
              </w:rPr>
              <w:t>пятьсот шестьдесят</w:t>
            </w:r>
            <w:r w:rsidR="004B7FD8">
              <w:rPr>
                <w:b/>
                <w:bCs/>
                <w:u w:val="single"/>
              </w:rPr>
              <w:t>) рубл</w:t>
            </w:r>
            <w:r w:rsidR="00B3147C">
              <w:rPr>
                <w:b/>
                <w:bCs/>
                <w:u w:val="single"/>
              </w:rPr>
              <w:t>ей</w:t>
            </w:r>
            <w:r w:rsidR="004B7FD8">
              <w:rPr>
                <w:b/>
                <w:bCs/>
                <w:u w:val="single"/>
              </w:rPr>
              <w:t xml:space="preserve"> </w:t>
            </w:r>
            <w:r w:rsidR="00331AD0">
              <w:rPr>
                <w:b/>
                <w:bCs/>
                <w:u w:val="single"/>
              </w:rPr>
              <w:t>4</w:t>
            </w:r>
            <w:r w:rsidR="00B3147C">
              <w:rPr>
                <w:b/>
                <w:bCs/>
                <w:u w:val="single"/>
              </w:rPr>
              <w:t>8</w:t>
            </w:r>
            <w:r w:rsidR="00453BB7" w:rsidRPr="00453BB7">
              <w:rPr>
                <w:b/>
                <w:bCs/>
                <w:u w:val="single"/>
              </w:rPr>
              <w:t xml:space="preserve"> копе</w:t>
            </w:r>
            <w:r w:rsidR="00B3147C">
              <w:rPr>
                <w:b/>
                <w:bCs/>
                <w:u w:val="single"/>
              </w:rPr>
              <w:t>е</w:t>
            </w:r>
            <w:r w:rsidR="00453BB7" w:rsidRPr="00453BB7">
              <w:rPr>
                <w:b/>
                <w:bCs/>
                <w:u w:val="single"/>
              </w:rPr>
              <w:t>к.</w:t>
            </w:r>
          </w:p>
          <w:p w:rsidR="008C21EB" w:rsidRDefault="00B3147C"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proofErr w:type="gramStart"/>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w:t>
                  </w:r>
                  <w:proofErr w:type="gramEnd"/>
                  <w:r w:rsidR="006D1025" w:rsidRPr="000C0A1B">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proofErr w:type="gramStart"/>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6D1025" w:rsidRPr="000C0A1B">
                    <w:t xml:space="preserve"> в законную силу решение суда о признании обязанности </w:t>
                  </w:r>
                  <w:proofErr w:type="gramStart"/>
                  <w:r w:rsidR="006D1025" w:rsidRPr="000C0A1B">
                    <w:t>заявителя</w:t>
                  </w:r>
                  <w:proofErr w:type="gramEnd"/>
                  <w:r w:rsidR="006D1025" w:rsidRPr="000C0A1B">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w:t>
                  </w:r>
                  <w:proofErr w:type="gramStart"/>
                  <w:r w:rsidR="006D1025" w:rsidRPr="000C0A1B">
                    <w:t>в течение двух лет до момента подачи заявки на участие в конкурентной закупке с участием</w:t>
                  </w:r>
                  <w:proofErr w:type="gramEnd"/>
                  <w:r w:rsidR="006D1025" w:rsidRPr="000C0A1B">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proofErr w:type="gramStart"/>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6D1025" w:rsidRPr="000C0A1B">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B3147C" w:rsidRPr="00ED0DE7" w:rsidRDefault="00B3147C" w:rsidP="00B3147C">
            <w:pPr>
              <w:widowControl w:val="0"/>
              <w:suppressAutoHyphens/>
              <w:jc w:val="both"/>
              <w:rPr>
                <w:color w:val="FF0000"/>
                <w:kern w:val="1"/>
                <w:lang w:bidi="hi-IN"/>
              </w:rPr>
            </w:pPr>
            <w:r w:rsidRPr="00ED0DE7">
              <w:rPr>
                <w:color w:val="000000"/>
                <w:kern w:val="1"/>
                <w:lang w:bidi="hi-IN"/>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Тюменская область, г. Ханты-Мансийск, ул. Чехова, 81.</w:t>
            </w:r>
          </w:p>
          <w:p w:rsidR="00B3147C" w:rsidRPr="00ED0DE7" w:rsidRDefault="00B3147C" w:rsidP="00B3147C">
            <w:pPr>
              <w:widowControl w:val="0"/>
              <w:suppressAutoHyphens/>
              <w:jc w:val="both"/>
              <w:rPr>
                <w:rFonts w:eastAsia="SimSun"/>
                <w:kern w:val="1"/>
                <w:lang w:bidi="hi-IN"/>
              </w:rPr>
            </w:pPr>
            <w:r w:rsidRPr="00ED0DE7">
              <w:rPr>
                <w:rFonts w:eastAsia="SimSun"/>
                <w:kern w:val="1"/>
                <w:lang w:bidi="hi-IN"/>
              </w:rPr>
              <w:t xml:space="preserve">Поставка Товара осуществляется отдельными партиями по заявкам Заказчика в срок 90 (девяносто) календарных дней </w:t>
            </w:r>
            <w:r w:rsidRPr="00ED0DE7">
              <w:rPr>
                <w:color w:val="000000"/>
                <w:spacing w:val="1"/>
                <w:kern w:val="1"/>
                <w:lang w:eastAsia="zh-CN" w:bidi="hi-IN"/>
              </w:rPr>
              <w:t xml:space="preserve">(с правом досрочной поставки) </w:t>
            </w:r>
            <w:r w:rsidRPr="00ED0DE7">
              <w:rPr>
                <w:rFonts w:eastAsia="SimSun"/>
                <w:kern w:val="1"/>
                <w:lang w:bidi="hi-IN"/>
              </w:rPr>
              <w:t>с момента получения Поставщиком письменной заявки, включающей наименование и количества Товара в партии.</w:t>
            </w:r>
          </w:p>
          <w:p w:rsidR="00497F23" w:rsidRPr="006D1025" w:rsidRDefault="00B3147C" w:rsidP="00B3147C">
            <w:pPr>
              <w:shd w:val="clear" w:color="auto" w:fill="FFFFFF"/>
              <w:ind w:right="-23"/>
              <w:jc w:val="both"/>
              <w:rPr>
                <w:spacing w:val="1"/>
                <w:kern w:val="1"/>
                <w:highlight w:val="yellow"/>
                <w:lang w:bidi="hi-IN"/>
              </w:rPr>
            </w:pPr>
            <w:r w:rsidRPr="00ED0DE7">
              <w:rPr>
                <w:rFonts w:eastAsia="SimSun"/>
                <w:kern w:val="1"/>
                <w:lang w:bidi="hi-IN"/>
              </w:rPr>
              <w:t>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 xml:space="preserve">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F378A">
              <w:lastRenderedPageBreak/>
              <w:t>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B3147C"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AA4F70">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00331AD0"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proofErr w:type="gramStart"/>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proofErr w:type="gramStart"/>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roofErr w:type="gramEnd"/>
          </w:p>
          <w:p w:rsidR="000466A7" w:rsidRDefault="001E5E11" w:rsidP="00E26300">
            <w:pPr>
              <w:ind w:firstLine="529"/>
              <w:jc w:val="both"/>
            </w:pPr>
            <w:proofErr w:type="gramStart"/>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8523D2" w:rsidRPr="00A46C6F">
              <w:t xml:space="preserve"> </w:t>
            </w:r>
            <w:proofErr w:type="gramStart"/>
            <w:r w:rsidR="008523D2" w:rsidRPr="00A46C6F">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roofErr w:type="gramEnd"/>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proofErr w:type="gramStart"/>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00B250B4" w:rsidRPr="00A46C6F">
              <w:t xml:space="preserve"> вступившее в законную силу решение суда о признании обязанности </w:t>
            </w:r>
            <w:proofErr w:type="gramStart"/>
            <w:r w:rsidR="00B250B4" w:rsidRPr="00A46C6F">
              <w:t>заявителя</w:t>
            </w:r>
            <w:proofErr w:type="gramEnd"/>
            <w:r w:rsidR="00B250B4" w:rsidRPr="00A46C6F">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proofErr w:type="gramStart"/>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00B250B4" w:rsidRPr="00A46C6F">
              <w:t xml:space="preserve">, </w:t>
            </w:r>
            <w:proofErr w:type="gramStart"/>
            <w:r w:rsidR="00B250B4" w:rsidRPr="00A46C6F">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proofErr w:type="gramStart"/>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00B250B4" w:rsidRPr="00A46C6F">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proofErr w:type="gramStart"/>
            <w:r>
              <w:t>11</w:t>
            </w:r>
            <w:r w:rsidR="0095082F">
              <w:t xml:space="preserve">) </w:t>
            </w:r>
            <w:r w:rsidR="00493728" w:rsidRPr="00A46C6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493728" w:rsidRPr="00A46C6F">
              <w:t xml:space="preserve">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93728" w:rsidRPr="00493728" w:rsidRDefault="00493728" w:rsidP="00E26300">
            <w:pPr>
              <w:autoSpaceDE w:val="0"/>
              <w:autoSpaceDN w:val="0"/>
              <w:adjustRightInd w:val="0"/>
              <w:ind w:firstLine="529"/>
              <w:jc w:val="both"/>
            </w:pPr>
            <w:r w:rsidRPr="00493728">
              <w:t xml:space="preserve">12) </w:t>
            </w:r>
            <w:r w:rsidR="002E1AA6" w:rsidRPr="00A07550">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(Сведения предоставляются в соответствии с </w:t>
            </w:r>
            <w:r w:rsidR="002E1AA6" w:rsidRPr="00A07550">
              <w:rPr>
                <w:rStyle w:val="a3"/>
              </w:rPr>
              <w:t xml:space="preserve">формой </w:t>
            </w:r>
            <w:r w:rsidR="005A1419">
              <w:rPr>
                <w:rStyle w:val="a3"/>
              </w:rPr>
              <w:t>3</w:t>
            </w:r>
            <w:r w:rsidR="002E1AA6" w:rsidRPr="00A07550">
              <w:rPr>
                <w:rStyle w:val="a3"/>
              </w:rPr>
              <w:t xml:space="preserve"> раздела III «ФОРМЫ ДЛЯ ЗАПОЛНЕНИЯ УЧАСТНИКАМИ»</w:t>
            </w:r>
            <w:r w:rsidR="002E1AA6" w:rsidRPr="00A07550">
              <w:t xml:space="preserve"> настоящей Документации.</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 xml:space="preserve">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w:t>
            </w:r>
            <w:r w:rsidRPr="0070350A">
              <w:lastRenderedPageBreak/>
              <w:t>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w:t>
            </w:r>
            <w:r w:rsidRPr="00BF341D">
              <w:lastRenderedPageBreak/>
              <w:t>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апроса котировок</w:t>
      </w:r>
      <w:proofErr w:type="gramStart"/>
      <w:r w:rsidRPr="00921E1F">
        <w:rPr>
          <w:i/>
          <w:color w:val="943634" w:themeColor="accent2" w:themeShade="BF"/>
          <w:sz w:val="22"/>
        </w:rPr>
        <w:t>.</w:t>
      </w:r>
      <w:proofErr w:type="gramEnd"/>
      <w:r w:rsidRPr="00921E1F">
        <w:rPr>
          <w:i/>
          <w:color w:val="943634" w:themeColor="accent2" w:themeShade="BF"/>
          <w:sz w:val="22"/>
        </w:rPr>
        <w:t xml:space="preserve"> </w:t>
      </w:r>
      <w:proofErr w:type="gramStart"/>
      <w:r w:rsidR="006D7D97">
        <w:rPr>
          <w:i/>
          <w:color w:val="943634" w:themeColor="accent2" w:themeShade="BF"/>
          <w:sz w:val="22"/>
        </w:rPr>
        <w:t>у</w:t>
      </w:r>
      <w:proofErr w:type="gramEnd"/>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1E5E11">
        <w:rPr>
          <w:sz w:val="22"/>
          <w:szCs w:val="22"/>
          <w:lang w:eastAsia="zh-CN"/>
        </w:rPr>
        <w:t>на</w:t>
      </w:r>
      <w:proofErr w:type="gramEnd"/>
      <w:r w:rsidRPr="001E5E11">
        <w:rPr>
          <w:sz w:val="22"/>
          <w:szCs w:val="22"/>
          <w:lang w:eastAsia="zh-CN"/>
        </w:rPr>
        <w:t xml:space="preserve">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proofErr w:type="gramStart"/>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roofErr w:type="gramEnd"/>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xml:space="preserve">№ </w:t>
            </w:r>
            <w:proofErr w:type="gramStart"/>
            <w:r w:rsidRPr="001E5E11">
              <w:rPr>
                <w:rFonts w:eastAsia="Calibri"/>
                <w:b/>
                <w:bCs/>
                <w:lang w:eastAsia="en-US"/>
              </w:rPr>
              <w:t>п</w:t>
            </w:r>
            <w:proofErr w:type="gramEnd"/>
            <w:r w:rsidRPr="001E5E11">
              <w:rPr>
                <w:rFonts w:eastAsia="Calibri"/>
                <w:b/>
                <w:bCs/>
                <w:lang w:eastAsia="en-US"/>
              </w:rPr>
              <w:t>/п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2E1AA6">
        <w:rPr>
          <w:i/>
          <w:sz w:val="20"/>
          <w:szCs w:val="20"/>
          <w:lang w:eastAsia="zh-CN"/>
        </w:rPr>
        <w:t>, 1.2, 1.3</w:t>
      </w:r>
      <w:r w:rsidR="00B3147C">
        <w:rPr>
          <w:i/>
          <w:sz w:val="20"/>
          <w:szCs w:val="20"/>
          <w:lang w:eastAsia="zh-CN"/>
        </w:rPr>
        <w:t>(1.3.1)</w:t>
      </w:r>
      <w:r w:rsidR="002E1AA6">
        <w:rPr>
          <w:i/>
          <w:sz w:val="20"/>
          <w:szCs w:val="20"/>
          <w:lang w:eastAsia="zh-CN"/>
        </w:rPr>
        <w:t>, 1.4)</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w:t>
      </w:r>
      <w:r w:rsidR="009B7EC2" w:rsidRPr="002E1AA6">
        <w:rPr>
          <w:i/>
          <w:color w:val="943634" w:themeColor="accent2" w:themeShade="BF"/>
          <w:lang w:eastAsia="zh-CN"/>
        </w:rPr>
        <w:t>1</w:t>
      </w:r>
      <w:r w:rsidR="002E1AA6">
        <w:rPr>
          <w:i/>
          <w:color w:val="943634" w:themeColor="accent2" w:themeShade="BF"/>
          <w:lang w:eastAsia="zh-CN"/>
        </w:rPr>
        <w:t xml:space="preserve">, </w:t>
      </w:r>
      <w:r w:rsidR="002E1AA6" w:rsidRPr="002E1AA6">
        <w:rPr>
          <w:i/>
          <w:color w:val="943634" w:themeColor="accent2" w:themeShade="BF"/>
          <w:lang w:eastAsia="zh-CN"/>
        </w:rPr>
        <w:t>1.2, 1.3</w:t>
      </w:r>
      <w:r w:rsidR="00B3147C">
        <w:rPr>
          <w:i/>
          <w:color w:val="943634" w:themeColor="accent2" w:themeShade="BF"/>
          <w:lang w:eastAsia="zh-CN"/>
        </w:rPr>
        <w:t>(1.3.1)</w:t>
      </w:r>
      <w:r w:rsidR="002E1AA6" w:rsidRPr="002E1AA6">
        <w:rPr>
          <w:i/>
          <w:color w:val="943634" w:themeColor="accent2" w:themeShade="BF"/>
          <w:lang w:eastAsia="zh-CN"/>
        </w:rPr>
        <w:t>, 1.4</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8A33C2">
        <w:rPr>
          <w:sz w:val="22"/>
          <w:szCs w:val="22"/>
          <w:lang w:eastAsia="zh-CN"/>
        </w:rPr>
        <w:t>на</w:t>
      </w:r>
      <w:proofErr w:type="gramEnd"/>
      <w:r w:rsidRPr="008A33C2">
        <w:rPr>
          <w:sz w:val="22"/>
          <w:szCs w:val="22"/>
          <w:lang w:eastAsia="zh-CN"/>
        </w:rPr>
        <w:t xml:space="preserve">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roofErr w:type="gramStart"/>
            <w:r w:rsidRPr="008A33C2">
              <w:rPr>
                <w:iCs/>
                <w:color w:val="000000"/>
                <w:sz w:val="20"/>
                <w:szCs w:val="20"/>
                <w:lang w:eastAsia="zh-CN"/>
              </w:rPr>
              <w:t>п</w:t>
            </w:r>
            <w:proofErr w:type="gramEnd"/>
            <w:r w:rsidRPr="008A33C2">
              <w:rPr>
                <w:iCs/>
                <w:color w:val="000000"/>
                <w:sz w:val="20"/>
                <w:szCs w:val="20"/>
                <w:lang w:eastAsia="zh-CN"/>
              </w:rPr>
              <w:t>/п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 xml:space="preserve">(если участник размещения заказа имеет право на освобождение от уплаты НДС, то </w:t>
            </w:r>
            <w:proofErr w:type="gramStart"/>
            <w:r w:rsidRPr="008A33C2">
              <w:rPr>
                <w:i/>
                <w:iCs/>
                <w:color w:val="000000"/>
                <w:sz w:val="20"/>
                <w:szCs w:val="20"/>
                <w:lang w:eastAsia="zh-CN"/>
              </w:rPr>
              <w:t>указывается НДС не облагается</w:t>
            </w:r>
            <w:proofErr w:type="gramEnd"/>
            <w:r w:rsidRPr="008A33C2">
              <w:rPr>
                <w:i/>
                <w:iCs/>
                <w:color w:val="000000"/>
                <w:sz w:val="20"/>
                <w:szCs w:val="20"/>
                <w:lang w:eastAsia="zh-CN"/>
              </w:rPr>
              <w:t>)</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A06" w:rsidRDefault="00614A06" w:rsidP="00C919B0">
      <w:r>
        <w:separator/>
      </w:r>
    </w:p>
  </w:endnote>
  <w:endnote w:type="continuationSeparator" w:id="0">
    <w:p w:rsidR="00614A06" w:rsidRDefault="00614A06"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B3147C" w:rsidRDefault="00B3147C">
        <w:pPr>
          <w:pStyle w:val="a7"/>
          <w:jc w:val="right"/>
        </w:pPr>
        <w:r>
          <w:fldChar w:fldCharType="begin"/>
        </w:r>
        <w:r>
          <w:instrText>PAGE   \* MERGEFORMAT</w:instrText>
        </w:r>
        <w:r>
          <w:fldChar w:fldCharType="separate"/>
        </w:r>
        <w:r w:rsidR="001A6952">
          <w:rPr>
            <w:noProof/>
          </w:rPr>
          <w:t>22</w:t>
        </w:r>
        <w:r>
          <w:fldChar w:fldCharType="end"/>
        </w:r>
      </w:p>
    </w:sdtContent>
  </w:sdt>
  <w:p w:rsidR="00B3147C" w:rsidRDefault="00B314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A06" w:rsidRDefault="00614A06" w:rsidP="00C919B0">
      <w:r>
        <w:separator/>
      </w:r>
    </w:p>
  </w:footnote>
  <w:footnote w:type="continuationSeparator" w:id="0">
    <w:p w:rsidR="00614A06" w:rsidRDefault="00614A06"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2CD8"/>
    <w:rsid w:val="00154AB8"/>
    <w:rsid w:val="001644D7"/>
    <w:rsid w:val="001655EB"/>
    <w:rsid w:val="00171525"/>
    <w:rsid w:val="00172AC5"/>
    <w:rsid w:val="00173AAA"/>
    <w:rsid w:val="00173F79"/>
    <w:rsid w:val="0017659A"/>
    <w:rsid w:val="001776C2"/>
    <w:rsid w:val="00177C6C"/>
    <w:rsid w:val="00183EF8"/>
    <w:rsid w:val="001A259D"/>
    <w:rsid w:val="001A527E"/>
    <w:rsid w:val="001A6952"/>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1AA6"/>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1AD0"/>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1419"/>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5F3C17"/>
    <w:rsid w:val="006019F1"/>
    <w:rsid w:val="00601C51"/>
    <w:rsid w:val="006071EF"/>
    <w:rsid w:val="00612183"/>
    <w:rsid w:val="00614867"/>
    <w:rsid w:val="00614A06"/>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8F5163"/>
    <w:rsid w:val="009013E2"/>
    <w:rsid w:val="00901E61"/>
    <w:rsid w:val="00903AFC"/>
    <w:rsid w:val="00907FAB"/>
    <w:rsid w:val="009104E7"/>
    <w:rsid w:val="00921E1F"/>
    <w:rsid w:val="00921E41"/>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147C"/>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066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167CD"/>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61204"/>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F113A-9678-4AAA-8C7D-054C74B47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10020</Words>
  <Characters>57119</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2025-03-06T04:30:00Z</cp:lastPrinted>
  <dcterms:created xsi:type="dcterms:W3CDTF">2025-03-10T05:46:00Z</dcterms:created>
  <dcterms:modified xsi:type="dcterms:W3CDTF">2025-03-10T05:46:00Z</dcterms:modified>
</cp:coreProperties>
</file>