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Pr="00921E1F" w:rsidRDefault="000B1FF3" w:rsidP="00237B04">
            <w:pPr>
              <w:widowControl w:val="0"/>
              <w:suppressAutoHyphens/>
              <w:autoSpaceDE w:val="0"/>
              <w:rPr>
                <w:b/>
                <w:lang w:eastAsia="zh-CN"/>
              </w:rPr>
            </w:pPr>
            <w:r>
              <w:rPr>
                <w:b/>
                <w:lang w:eastAsia="zh-CN"/>
              </w:rPr>
              <w:t>Технический директор</w:t>
            </w:r>
            <w:r w:rsidR="00237B04"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sidR="000B1FF3">
              <w:rPr>
                <w:b/>
                <w:lang w:eastAsia="zh-CN"/>
              </w:rPr>
              <w:t xml:space="preserve">С.А. </w:t>
            </w:r>
            <w:proofErr w:type="spellStart"/>
            <w:r w:rsidR="000B1FF3">
              <w:rPr>
                <w:b/>
                <w:lang w:eastAsia="zh-CN"/>
              </w:rPr>
              <w:t>Клюсов</w:t>
            </w:r>
            <w:proofErr w:type="spellEnd"/>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r w:rsidR="000B1FF3">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CF5E43" w:rsidP="000B1FF3">
      <w:pPr>
        <w:jc w:val="center"/>
      </w:pPr>
      <w:r w:rsidRPr="00CF5E43">
        <w:rPr>
          <w:b/>
          <w:sz w:val="28"/>
          <w:szCs w:val="28"/>
        </w:rPr>
        <w:t xml:space="preserve">на поставку </w:t>
      </w:r>
      <w:r w:rsidR="000B1FF3" w:rsidRPr="000B1FF3">
        <w:rPr>
          <w:b/>
          <w:sz w:val="28"/>
          <w:szCs w:val="28"/>
        </w:rPr>
        <w:t>газорегуляторных пунктов шкафных</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0B1FF3" w:rsidRDefault="000B1FF3" w:rsidP="00C919B0"/>
    <w:p w:rsidR="000B1FF3" w:rsidRDefault="000B1FF3"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C272A">
            <w:pPr>
              <w:widowControl w:val="0"/>
              <w:suppressAutoHyphens/>
              <w:autoSpaceDE w:val="0"/>
              <w:jc w:val="center"/>
              <w:rPr>
                <w:lang w:eastAsia="zh-CN"/>
              </w:rPr>
            </w:pPr>
            <w:r>
              <w:rPr>
                <w:lang w:eastAsia="zh-CN"/>
              </w:rPr>
              <w:t>3-15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A00D35">
            <w:pPr>
              <w:widowControl w:val="0"/>
              <w:suppressAutoHyphens/>
              <w:autoSpaceDE w:val="0"/>
              <w:jc w:val="center"/>
              <w:rPr>
                <w:lang w:eastAsia="zh-CN"/>
              </w:rPr>
            </w:pPr>
            <w:r w:rsidRPr="00B02412">
              <w:rPr>
                <w:lang w:eastAsia="zh-CN"/>
              </w:rPr>
              <w:t>1</w:t>
            </w:r>
            <w:r w:rsidR="00A00D35">
              <w:rPr>
                <w:lang w:eastAsia="zh-CN"/>
              </w:rPr>
              <w:t>6</w:t>
            </w:r>
            <w:r w:rsidRPr="00B02412">
              <w:rPr>
                <w:lang w:eastAsia="zh-CN"/>
              </w:rPr>
              <w:t>-</w:t>
            </w:r>
            <w:r w:rsidR="00021FE1">
              <w:rPr>
                <w:lang w:eastAsia="zh-CN"/>
              </w:rPr>
              <w:t>2</w:t>
            </w:r>
            <w:r w:rsidR="00A00D35">
              <w:rPr>
                <w:lang w:eastAsia="zh-CN"/>
              </w:rPr>
              <w:t>2</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3</w:t>
            </w:r>
            <w:r>
              <w:rPr>
                <w:lang w:eastAsia="zh-CN"/>
              </w:rPr>
              <w:t>-2</w:t>
            </w:r>
            <w:r w:rsidR="00A00D35">
              <w:rPr>
                <w:lang w:eastAsia="zh-CN"/>
              </w:rPr>
              <w:t>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7</w:t>
            </w:r>
            <w:r>
              <w:rPr>
                <w:lang w:eastAsia="zh-CN"/>
              </w:rPr>
              <w:t>-3</w:t>
            </w:r>
            <w:r w:rsidR="00A00D35">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3</w:t>
            </w:r>
            <w:r w:rsidR="00A00D35">
              <w:rPr>
                <w:lang w:eastAsia="zh-CN"/>
              </w:rPr>
              <w:t>4</w:t>
            </w:r>
            <w:r>
              <w:rPr>
                <w:lang w:eastAsia="zh-CN"/>
              </w:rPr>
              <w:t>-</w:t>
            </w:r>
            <w:r w:rsidR="00DF0A15">
              <w:rPr>
                <w:lang w:eastAsia="zh-CN"/>
              </w:rPr>
              <w:t>38</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DF0A15">
            <w:pPr>
              <w:widowControl w:val="0"/>
              <w:suppressAutoHyphens/>
              <w:autoSpaceDE w:val="0"/>
              <w:jc w:val="center"/>
              <w:rPr>
                <w:lang w:eastAsia="zh-CN"/>
              </w:rPr>
            </w:pPr>
            <w:r>
              <w:rPr>
                <w:lang w:eastAsia="zh-CN"/>
              </w:rPr>
              <w:t>3</w:t>
            </w:r>
            <w:r w:rsidR="00DF0A15">
              <w:rPr>
                <w:lang w:eastAsia="zh-CN"/>
              </w:rPr>
              <w:t>9</w:t>
            </w:r>
            <w:r w:rsidR="004A4199">
              <w:rPr>
                <w:lang w:eastAsia="zh-CN"/>
              </w:rPr>
              <w:t>-</w:t>
            </w:r>
            <w:r>
              <w:rPr>
                <w:lang w:eastAsia="zh-CN"/>
              </w:rPr>
              <w:t>4</w:t>
            </w:r>
            <w:r w:rsidR="00DF0A15">
              <w:rPr>
                <w:lang w:eastAsia="zh-CN"/>
              </w:rPr>
              <w:t>5</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A00D35" w:rsidP="00DF0A15">
            <w:pPr>
              <w:widowControl w:val="0"/>
              <w:suppressAutoHyphens/>
              <w:autoSpaceDE w:val="0"/>
              <w:jc w:val="center"/>
              <w:rPr>
                <w:lang w:eastAsia="zh-CN"/>
              </w:rPr>
            </w:pPr>
            <w:r>
              <w:rPr>
                <w:lang w:eastAsia="zh-CN"/>
              </w:rPr>
              <w:t>4</w:t>
            </w:r>
            <w:r w:rsidR="00DF0A15">
              <w:rPr>
                <w:lang w:eastAsia="zh-CN"/>
              </w:rPr>
              <w:t>6</w:t>
            </w:r>
            <w:r>
              <w:rPr>
                <w:lang w:eastAsia="zh-CN"/>
              </w:rPr>
              <w:t>-4</w:t>
            </w:r>
            <w:r w:rsidR="00DF0A15">
              <w:rPr>
                <w:lang w:eastAsia="zh-CN"/>
              </w:rPr>
              <w:t>7</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0B1FF3"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0C0A1B" w:rsidRDefault="00F24413" w:rsidP="00F24413">
            <w:pPr>
              <w:ind w:firstLine="567"/>
              <w:jc w:val="both"/>
            </w:pPr>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 целях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F24413" w:rsidRPr="000C0A1B" w:rsidRDefault="00F24413" w:rsidP="00F24413">
            <w:pPr>
              <w:ind w:firstLine="567"/>
              <w:jc w:val="both"/>
            </w:pPr>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2B6C41" w:rsidRPr="000C0A1B">
              <w:rPr>
                <w:bCs/>
              </w:rPr>
              <w:t>Заместитель н</w:t>
            </w:r>
            <w:r w:rsidRPr="000C0A1B">
              <w:rPr>
                <w:bCs/>
              </w:rPr>
              <w:t>ачальник</w:t>
            </w:r>
            <w:r w:rsidR="002B6C41" w:rsidRPr="000C0A1B">
              <w:rPr>
                <w:bCs/>
              </w:rPr>
              <w:t>а</w:t>
            </w:r>
            <w:r w:rsidRPr="000C0A1B">
              <w:rPr>
                <w:bCs/>
              </w:rPr>
              <w:t xml:space="preserve"> отдела снабжения АО «УТС» </w:t>
            </w:r>
            <w:r w:rsidR="002B6C41" w:rsidRPr="000C0A1B">
              <w:rPr>
                <w:bCs/>
              </w:rPr>
              <w:t>Гордеева Елена Викторовна</w:t>
            </w:r>
            <w:r w:rsidRPr="000C0A1B">
              <w:rPr>
                <w:bCs/>
              </w:rPr>
              <w:t xml:space="preserve"> тел. (3467) 32-69-89.</w:t>
            </w:r>
          </w:p>
          <w:p w:rsidR="00B0492F" w:rsidRPr="000C0A1B" w:rsidRDefault="00C467E9" w:rsidP="000B1FF3">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0B1FF3">
              <w:t>Инженер по эксплуатации оборудования газовых объектов</w:t>
            </w:r>
            <w:r w:rsidR="00C60FCB" w:rsidRPr="000C0A1B">
              <w:t xml:space="preserve"> </w:t>
            </w:r>
            <w:proofErr w:type="spellStart"/>
            <w:r w:rsidR="000B1FF3">
              <w:t>Ердяков</w:t>
            </w:r>
            <w:proofErr w:type="spellEnd"/>
            <w:r w:rsidR="000B1FF3">
              <w:t xml:space="preserve"> Аркадий Аркадьевич </w:t>
            </w:r>
            <w:r w:rsidR="00C60FCB" w:rsidRPr="000B1FF3">
              <w:t xml:space="preserve">тел. </w:t>
            </w:r>
            <w:r w:rsidR="00BA6EED" w:rsidRPr="000B1FF3">
              <w:t>8-90</w:t>
            </w:r>
            <w:r w:rsidR="000B1FF3" w:rsidRPr="000B1FF3">
              <w:t>2</w:t>
            </w:r>
            <w:r w:rsidR="00BA6EED" w:rsidRPr="000B1FF3">
              <w:t>-</w:t>
            </w:r>
            <w:r w:rsidR="000B1FF3" w:rsidRPr="000B1FF3">
              <w:t>814</w:t>
            </w:r>
            <w:r w:rsidR="00BA6EED" w:rsidRPr="000B1FF3">
              <w:t>-</w:t>
            </w:r>
            <w:r w:rsidR="000B1FF3" w:rsidRPr="000B1FF3">
              <w:t>68</w:t>
            </w:r>
            <w:r w:rsidR="00BA6EED" w:rsidRPr="000B1FF3">
              <w:t>-6</w:t>
            </w:r>
            <w:r w:rsidR="000B1FF3" w:rsidRPr="000B1FF3">
              <w:t>1</w:t>
            </w:r>
            <w:r w:rsidR="00704811" w:rsidRPr="000C0A1B">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5" w:name="форма2"/>
            <w:bookmarkEnd w:id="4"/>
            <w:r w:rsidRPr="000C0A1B">
              <w:rPr>
                <w:bCs/>
              </w:rPr>
              <w:t xml:space="preserve">Особенности участия в закупке </w:t>
            </w:r>
            <w:bookmarkEnd w:id="5"/>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r w:rsidR="00CA3EFE" w:rsidRPr="000C0A1B">
              <w:rPr>
                <w:b/>
                <w:bCs/>
                <w:u w:val="single"/>
              </w:rPr>
              <w:t xml:space="preserve">участниками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6" w:name="_Ref479236830"/>
          </w:p>
        </w:tc>
        <w:bookmarkEnd w:id="6"/>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A167B" w:rsidRDefault="007325A4" w:rsidP="00854B86">
            <w:pPr>
              <w:pStyle w:val="rvps1"/>
              <w:jc w:val="both"/>
              <w:rPr>
                <w:bCs/>
                <w:highlight w:val="yellow"/>
              </w:rPr>
            </w:pPr>
            <w:r w:rsidRPr="000B1FF3">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0B1FF3">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7654" w:type="dxa"/>
            <w:tcBorders>
              <w:top w:val="single" w:sz="4" w:space="0" w:color="auto"/>
              <w:left w:val="single" w:sz="4" w:space="0" w:color="auto"/>
              <w:bottom w:val="single" w:sz="4" w:space="0" w:color="auto"/>
              <w:right w:val="single" w:sz="4" w:space="0" w:color="auto"/>
            </w:tcBorders>
            <w:vAlign w:val="center"/>
          </w:tcPr>
          <w:p w:rsidR="000B1FF3" w:rsidRPr="00FC3F56" w:rsidRDefault="000B1FF3" w:rsidP="000B1FF3">
            <w:pPr>
              <w:autoSpaceDE w:val="0"/>
              <w:autoSpaceDN w:val="0"/>
              <w:adjustRightInd w:val="0"/>
              <w:ind w:left="34"/>
              <w:jc w:val="both"/>
              <w:rPr>
                <w:bCs/>
                <w:color w:val="000000"/>
              </w:rPr>
            </w:pPr>
            <w:proofErr w:type="gramStart"/>
            <w:r w:rsidRPr="00FC3F56">
              <w:rPr>
                <w:bCs/>
                <w:color w:val="000000"/>
              </w:rPr>
              <w:lastRenderedPageBreak/>
              <w:t>Установлено предусмотренное подпунктом «б» пункта 1 части 2 статьи 3.1-4 Федерального 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w:t>
            </w:r>
            <w:proofErr w:type="gramEnd"/>
            <w:r w:rsidRPr="00FC3F56">
              <w:rPr>
                <w:bCs/>
                <w:color w:val="000000"/>
              </w:rPr>
              <w:t xml:space="preserve"> товаров российского происхождения.</w:t>
            </w:r>
          </w:p>
          <w:p w:rsidR="000B1FF3" w:rsidRPr="00FC3F56" w:rsidRDefault="000B1FF3" w:rsidP="000B1FF3">
            <w:pPr>
              <w:autoSpaceDE w:val="0"/>
              <w:autoSpaceDN w:val="0"/>
              <w:adjustRightInd w:val="0"/>
              <w:ind w:left="34"/>
              <w:jc w:val="both"/>
              <w:rPr>
                <w:bCs/>
                <w:color w:val="000000"/>
              </w:rPr>
            </w:pPr>
            <w:r w:rsidRPr="00FC3F56">
              <w:rPr>
                <w:bCs/>
                <w:color w:val="000000"/>
              </w:rPr>
              <w:lastRenderedPageBreak/>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0B1FF3" w:rsidRPr="00FC3F56" w:rsidRDefault="000B1FF3" w:rsidP="000B1FF3">
            <w:pPr>
              <w:autoSpaceDE w:val="0"/>
              <w:autoSpaceDN w:val="0"/>
              <w:adjustRightInd w:val="0"/>
              <w:ind w:left="34"/>
              <w:jc w:val="both"/>
              <w:rPr>
                <w:bCs/>
                <w:color w:val="000000"/>
              </w:rPr>
            </w:pPr>
            <w:r w:rsidRPr="00FC3F56">
              <w:rPr>
                <w:bCs/>
                <w:color w:val="000000"/>
              </w:rP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AD10EE" w:rsidRPr="007A167B" w:rsidRDefault="000B1FF3" w:rsidP="000B1FF3">
            <w:pPr>
              <w:pStyle w:val="Default"/>
              <w:jc w:val="both"/>
              <w:rPr>
                <w:bCs/>
                <w:highlight w:val="yellow"/>
              </w:rPr>
            </w:pPr>
            <w:r w:rsidRPr="00FC3F56">
              <w:rPr>
                <w:bC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7" w:name="_Ref378108959"/>
          </w:p>
        </w:tc>
        <w:bookmarkEnd w:id="7"/>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находящейся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352231">
            <w:r w:rsidRPr="000C0A1B">
              <w:t>«</w:t>
            </w:r>
            <w:r w:rsidR="000C0A1B">
              <w:t>2</w:t>
            </w:r>
            <w:r w:rsidR="00352231">
              <w:t>6</w:t>
            </w:r>
            <w:r w:rsidR="00572570" w:rsidRPr="000C0A1B">
              <w:t>»</w:t>
            </w:r>
            <w:r w:rsidR="001D190A" w:rsidRPr="000C0A1B">
              <w:t xml:space="preserve"> </w:t>
            </w:r>
            <w:r w:rsidR="00352231">
              <w:t>мая</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8" w:name="_Ref368304315"/>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подачи заявок участников </w:t>
            </w:r>
            <w:r w:rsidR="001776C2" w:rsidRPr="000C0A1B">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t>Дата и время окончания срока: последний день срока подачи Заявок:</w:t>
            </w:r>
          </w:p>
          <w:p w:rsidR="00C919B0" w:rsidRPr="000C0A1B" w:rsidRDefault="00C919B0" w:rsidP="00BE7752">
            <w:r w:rsidRPr="000C0A1B">
              <w:t>«</w:t>
            </w:r>
            <w:r w:rsidR="00352231">
              <w:t>02</w:t>
            </w:r>
            <w:r w:rsidRPr="000C0A1B">
              <w:t xml:space="preserve">» </w:t>
            </w:r>
            <w:r w:rsidR="00352231">
              <w:t>июня</w:t>
            </w:r>
            <w:r w:rsidR="000D39CD" w:rsidRPr="000C0A1B">
              <w:t xml:space="preserve"> </w:t>
            </w:r>
            <w:r w:rsidRPr="000C0A1B">
              <w:t>20</w:t>
            </w:r>
            <w:r w:rsidR="001F23B4" w:rsidRPr="000C0A1B">
              <w:t>2</w:t>
            </w:r>
            <w:r w:rsidR="000C0A1B">
              <w:t>5</w:t>
            </w:r>
            <w:r w:rsidRPr="000C0A1B">
              <w:t xml:space="preserve"> года </w:t>
            </w:r>
            <w:r w:rsidR="001F23B4" w:rsidRPr="000C0A1B">
              <w:t>0</w:t>
            </w:r>
            <w:r w:rsidR="00352231">
              <w:t>9</w:t>
            </w:r>
            <w:r w:rsidRPr="000C0A1B">
              <w:t>:</w:t>
            </w:r>
            <w:r w:rsidR="00352231">
              <w:t>0</w:t>
            </w:r>
            <w:r w:rsidR="00572570" w:rsidRPr="000C0A1B">
              <w:t>0</w:t>
            </w:r>
            <w:r w:rsidRPr="000C0A1B">
              <w:t xml:space="preserve"> (время </w:t>
            </w:r>
            <w:r w:rsidR="000D39CD" w:rsidRPr="000C0A1B">
              <w:t>местное</w:t>
            </w:r>
            <w:r w:rsidRPr="000C0A1B">
              <w:t xml:space="preserve">) </w:t>
            </w:r>
          </w:p>
          <w:p w:rsidR="00C919B0" w:rsidRPr="000C0A1B"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t>«</w:t>
            </w:r>
            <w:r w:rsidR="000C0A1B">
              <w:t>0</w:t>
            </w:r>
            <w:r w:rsidR="00352231">
              <w:t>2</w:t>
            </w:r>
            <w:r w:rsidRPr="000C0A1B">
              <w:t>»</w:t>
            </w:r>
            <w:r w:rsidR="008A1E96" w:rsidRPr="000C0A1B">
              <w:t xml:space="preserve"> </w:t>
            </w:r>
            <w:r w:rsidR="00352231">
              <w:t>июня</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B74F75" w:rsidRPr="000C0A1B">
              <w:t>0</w:t>
            </w:r>
            <w:r w:rsidR="00352231">
              <w:t>9</w:t>
            </w:r>
            <w:r w:rsidR="004402C9" w:rsidRPr="000C0A1B">
              <w:t>:</w:t>
            </w:r>
            <w:r w:rsidR="00352231">
              <w:t>0</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7810724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352231">
              <w:t>0</w:t>
            </w:r>
            <w:r w:rsidR="000C0A1B">
              <w:t>3</w:t>
            </w:r>
            <w:r w:rsidR="00C919B0" w:rsidRPr="000C0A1B">
              <w:t xml:space="preserve">» </w:t>
            </w:r>
            <w:r w:rsidR="00352231">
              <w:t>июн</w:t>
            </w:r>
            <w:r w:rsidR="00237B04" w:rsidRPr="000C0A1B">
              <w:t>я</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BA6EED" w:rsidRPr="000C0A1B">
              <w:t>0</w:t>
            </w:r>
            <w:r w:rsidR="00352231">
              <w:t>9</w:t>
            </w:r>
            <w:r w:rsidR="00322429" w:rsidRPr="000C0A1B">
              <w:t>:</w:t>
            </w:r>
            <w:r w:rsidR="00352231">
              <w:t>0</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w:t>
            </w:r>
            <w:r w:rsidRPr="000C0A1B">
              <w:lastRenderedPageBreak/>
              <w:t xml:space="preserve">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lastRenderedPageBreak/>
              <w:t xml:space="preserve">Заказчик вправе отменить проведение запроса котировок до </w:t>
            </w:r>
            <w:r w:rsidRPr="000C0A1B">
              <w:lastRenderedPageBreak/>
              <w:t>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C919B0" w:rsidRPr="00352231" w:rsidRDefault="0066607D" w:rsidP="00352231">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w:t>
            </w:r>
            <w:r w:rsidR="00352231">
              <w:rPr>
                <w:color w:val="000000"/>
                <w:lang w:eastAsia="en-US"/>
              </w:rPr>
              <w:t xml:space="preserve">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460495542"/>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r w:rsidR="00E45947" w:rsidRPr="000C0A1B">
              <w:rPr>
                <w:color w:val="000000"/>
              </w:rPr>
              <w:t xml:space="preserve">с даты </w:t>
            </w:r>
            <w:r w:rsidRPr="000C0A1B">
              <w:rPr>
                <w:color w:val="000000"/>
              </w:rPr>
              <w:t xml:space="preserve">поступления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Заказчик вправе не осуществлять такое разъяснение положений извещения о проведении запроса котировок, если запрос поступил позднее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352231">
              <w:rPr>
                <w:b/>
              </w:rPr>
              <w:t>02</w:t>
            </w:r>
            <w:r w:rsidRPr="000C0A1B">
              <w:rPr>
                <w:b/>
              </w:rPr>
              <w:t xml:space="preserve">» </w:t>
            </w:r>
            <w:r w:rsidR="00352231">
              <w:rPr>
                <w:b/>
              </w:rPr>
              <w:t>июн</w:t>
            </w:r>
            <w:r w:rsidR="00237B04" w:rsidRPr="000C0A1B">
              <w:rPr>
                <w:b/>
              </w:rPr>
              <w:t>я</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BA6EED" w:rsidRPr="000C0A1B">
              <w:rPr>
                <w:b/>
              </w:rPr>
              <w:t>0</w:t>
            </w:r>
            <w:r w:rsidR="00352231">
              <w:rPr>
                <w:b/>
              </w:rPr>
              <w:t>9</w:t>
            </w:r>
            <w:r w:rsidR="00B74F75" w:rsidRPr="000C0A1B">
              <w:rPr>
                <w:b/>
              </w:rPr>
              <w:t>:</w:t>
            </w:r>
            <w:r w:rsidR="00352231">
              <w:rPr>
                <w:b/>
              </w:rPr>
              <w:t>0</w:t>
            </w:r>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Наименование 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xml:space="preserve">, а также краткое описание предмета </w:t>
            </w:r>
            <w:r w:rsidR="00B43F37" w:rsidRPr="000C0A1B">
              <w:lastRenderedPageBreak/>
              <w:t>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lastRenderedPageBreak/>
              <w:t>Наименование закупки:</w:t>
            </w:r>
            <w:r w:rsidRPr="000C0A1B">
              <w:rPr>
                <w:b/>
                <w:bCs/>
                <w:iCs/>
                <w:u w:val="single"/>
              </w:rPr>
              <w:t xml:space="preserve"> Запрос котировок в электронной форме для субъектов малого и среднего предпринимательства </w:t>
            </w:r>
            <w:r w:rsidR="00704811" w:rsidRPr="000C0A1B">
              <w:rPr>
                <w:b/>
                <w:bCs/>
                <w:iCs/>
                <w:u w:val="single"/>
              </w:rPr>
              <w:t xml:space="preserve">на поставку </w:t>
            </w:r>
            <w:r w:rsidR="00352231" w:rsidRPr="00352231">
              <w:rPr>
                <w:b/>
                <w:u w:val="single"/>
              </w:rPr>
              <w:t>газорегуляторных пунктов шкафных</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r w:rsidR="00704811" w:rsidRPr="000C0A1B">
              <w:rPr>
                <w:b/>
                <w:bCs/>
                <w:iCs/>
                <w:u w:val="single"/>
              </w:rPr>
              <w:t xml:space="preserve">Поставка </w:t>
            </w:r>
            <w:r w:rsidR="00352231" w:rsidRPr="00352231">
              <w:rPr>
                <w:b/>
                <w:u w:val="single"/>
              </w:rPr>
              <w:t>газорегуляторных пунктов шкафных</w:t>
            </w:r>
            <w:r w:rsidR="00B360C9" w:rsidRPr="000C0A1B">
              <w:rPr>
                <w:b/>
                <w:bCs/>
                <w:iCs/>
                <w:u w:val="single"/>
              </w:rPr>
              <w:t>.</w:t>
            </w:r>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DB695F" w:rsidRPr="00352231"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оличество поставляемого товара, объем 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 xml:space="preserve">проведении запроса </w:t>
            </w:r>
            <w:r w:rsidR="00CE12B1" w:rsidRPr="000C0A1B">
              <w:rPr>
                <w:rFonts w:eastAsia="Times New Roman"/>
                <w:iCs/>
                <w:lang w:eastAsia="ru-RU"/>
              </w:rPr>
              <w:lastRenderedPageBreak/>
              <w:t>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352231">
              <w:rPr>
                <w:rFonts w:eastAsia="Times New Roman"/>
                <w:iCs/>
                <w:lang w:eastAsia="ru-RU"/>
              </w:rPr>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92234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 xml:space="preserve">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w:t>
            </w:r>
            <w:r w:rsidR="00690797" w:rsidRPr="000C0A1B">
              <w:lastRenderedPageBreak/>
              <w:t xml:space="preserve">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352231">
              <w:rPr>
                <w:b/>
                <w:bCs/>
                <w:u w:val="single"/>
              </w:rPr>
              <w:t>759 847</w:t>
            </w:r>
            <w:r w:rsidR="00480F64">
              <w:rPr>
                <w:b/>
                <w:bCs/>
                <w:u w:val="single"/>
              </w:rPr>
              <w:t xml:space="preserve"> </w:t>
            </w:r>
            <w:r w:rsidR="00453BB7" w:rsidRPr="00453BB7">
              <w:rPr>
                <w:b/>
                <w:bCs/>
                <w:u w:val="single"/>
              </w:rPr>
              <w:t>(</w:t>
            </w:r>
            <w:r w:rsidR="00352231">
              <w:rPr>
                <w:b/>
                <w:bCs/>
                <w:u w:val="single"/>
              </w:rPr>
              <w:t>семьсот пятьдесят девять тысяч восемьсот сорок семь</w:t>
            </w:r>
            <w:r w:rsidR="004B7FD8">
              <w:rPr>
                <w:b/>
                <w:bCs/>
                <w:u w:val="single"/>
              </w:rPr>
              <w:t>) рубл</w:t>
            </w:r>
            <w:r w:rsidR="000C0A1B">
              <w:rPr>
                <w:b/>
                <w:bCs/>
                <w:u w:val="single"/>
              </w:rPr>
              <w:t>ей</w:t>
            </w:r>
            <w:r w:rsidR="004B7FD8">
              <w:rPr>
                <w:b/>
                <w:bCs/>
                <w:u w:val="single"/>
              </w:rPr>
              <w:t xml:space="preserve"> </w:t>
            </w:r>
            <w:r w:rsidR="000C0A1B">
              <w:rPr>
                <w:b/>
                <w:bCs/>
                <w:u w:val="single"/>
              </w:rPr>
              <w:t>0</w:t>
            </w:r>
            <w:r w:rsidR="00BA6EED">
              <w:rPr>
                <w:b/>
                <w:bCs/>
                <w:u w:val="single"/>
              </w:rPr>
              <w:t>0</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352231"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352231">
        <w:trPr>
          <w:trHeight w:val="99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5" w:name="форма15"/>
            <w:bookmarkEnd w:id="14"/>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5"/>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8"/>
            </w:tblGrid>
            <w:tr w:rsidR="00C919B0" w:rsidRPr="00FA148C" w:rsidTr="00352231">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828"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352231">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6D1025" w:rsidRPr="000C0A1B">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828"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828"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828"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6D1025" w:rsidRPr="000C0A1B">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828"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6D1025" w:rsidRPr="000C0A1B">
                    <w:lastRenderedPageBreak/>
                    <w:t>правонарушения, предусмотренного статьей 19.28 Кодекса Российской Федерации об административных правонарушениях</w:t>
                  </w:r>
                </w:p>
              </w:tc>
              <w:tc>
                <w:tcPr>
                  <w:tcW w:w="3828"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828"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828"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0C0A1B">
                    <w:rPr>
                      <w:rFonts w:cs="Arial"/>
                      <w:color w:val="000000"/>
                    </w:rPr>
                    <w:lastRenderedPageBreak/>
                    <w:t>использования такого результата при исполнении договора</w:t>
                  </w:r>
                </w:p>
              </w:tc>
              <w:tc>
                <w:tcPr>
                  <w:tcW w:w="3828" w:type="dxa"/>
                  <w:shd w:val="clear" w:color="auto" w:fill="auto"/>
                </w:tcPr>
                <w:p w:rsidR="0030466A" w:rsidRPr="000C0A1B" w:rsidRDefault="0030466A" w:rsidP="0030466A">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0C0A1B">
                    <w:rPr>
                      <w:color w:val="000000"/>
                    </w:rPr>
                    <w:lastRenderedPageBreak/>
                    <w:t>аппаратных средств электронной площадки)</w:t>
                  </w:r>
                </w:p>
              </w:tc>
            </w:tr>
          </w:tbl>
          <w:p w:rsidR="00C919B0" w:rsidRPr="00352231" w:rsidRDefault="00C919B0" w:rsidP="00352231">
            <w:pPr>
              <w:jc w:val="both"/>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Pr="000C0A1B" w:rsidRDefault="007F0064" w:rsidP="007F0064">
            <w:pPr>
              <w:widowControl w:val="0"/>
              <w:suppressAutoHyphens/>
              <w:jc w:val="both"/>
              <w:rPr>
                <w:rFonts w:eastAsia="SimSun" w:cs="DejaVu Sans"/>
                <w:kern w:val="1"/>
                <w:lang w:eastAsia="en-US" w:bidi="hi-IN"/>
              </w:rPr>
            </w:pPr>
            <w:r w:rsidRPr="000C0A1B">
              <w:rPr>
                <w:rFonts w:eastAsia="SimSun" w:cs="DejaVu Sans"/>
                <w:kern w:val="1"/>
                <w:lang w:eastAsia="en-US" w:bidi="hi-IN"/>
              </w:rPr>
              <w:t xml:space="preserve">Место, условия и сроки (периоды) </w:t>
            </w:r>
            <w:r w:rsidR="00AF7251" w:rsidRPr="000C0A1B">
              <w:rPr>
                <w:rFonts w:eastAsia="SimSun" w:cs="DejaVu Sans"/>
                <w:kern w:val="1"/>
                <w:lang w:eastAsia="en-US" w:bidi="hi-IN"/>
              </w:rPr>
              <w:t>поставки товара</w:t>
            </w:r>
            <w:r w:rsidRPr="000C0A1B">
              <w:rPr>
                <w:rFonts w:eastAsia="SimSun" w:cs="DejaVu Sans"/>
                <w:kern w:val="1"/>
                <w:lang w:eastAsia="en-US" w:bidi="hi-IN"/>
              </w:rPr>
              <w:t xml:space="preserve">: </w:t>
            </w:r>
          </w:p>
          <w:p w:rsidR="00352231" w:rsidRPr="008712EC" w:rsidRDefault="00352231" w:rsidP="00352231">
            <w:pPr>
              <w:jc w:val="both"/>
              <w:rPr>
                <w:rFonts w:eastAsia="SimSun"/>
                <w:lang w:eastAsia="en-US"/>
              </w:rPr>
            </w:pPr>
            <w:r w:rsidRPr="008712EC">
              <w:rPr>
                <w:rFonts w:eastAsia="SimSun"/>
                <w:lang w:eastAsia="en-US"/>
              </w:rPr>
              <w:t>Товар Заказчику поставляется силами, транспортными средствами Поставщика или иными привлеченными Поставщиком третьими лицами, за счёт Поставщика по адресу: Тюменская область, г. Ханты-Мансийск, ул. Чехова, 81 с разгрузкой на складе Заказчика силами Поставщика.</w:t>
            </w:r>
          </w:p>
          <w:p w:rsidR="00497F23" w:rsidRPr="006D1025" w:rsidRDefault="00352231" w:rsidP="00352231">
            <w:pPr>
              <w:shd w:val="clear" w:color="auto" w:fill="FFFFFF"/>
              <w:ind w:right="-23"/>
              <w:jc w:val="both"/>
              <w:rPr>
                <w:spacing w:val="1"/>
                <w:kern w:val="1"/>
                <w:highlight w:val="yellow"/>
                <w:lang w:bidi="hi-IN"/>
              </w:rPr>
            </w:pPr>
            <w:r w:rsidRPr="008712EC">
              <w:rPr>
                <w:rFonts w:eastAsia="SimSun"/>
                <w:lang w:eastAsia="en-US"/>
              </w:rPr>
              <w:t xml:space="preserve">Поставка всего объёма поставляемого Товара, перечисленного в настоящем Техническом задании, осуществляется в </w:t>
            </w:r>
            <w:r>
              <w:rPr>
                <w:rFonts w:eastAsia="SimSun"/>
                <w:lang w:eastAsia="en-US"/>
              </w:rPr>
              <w:t>течени</w:t>
            </w:r>
            <w:proofErr w:type="gramStart"/>
            <w:r>
              <w:rPr>
                <w:rFonts w:eastAsia="SimSun"/>
                <w:lang w:eastAsia="en-US"/>
              </w:rPr>
              <w:t>и</w:t>
            </w:r>
            <w:proofErr w:type="gramEnd"/>
            <w:r>
              <w:rPr>
                <w:rFonts w:eastAsia="SimSun"/>
                <w:lang w:eastAsia="en-US"/>
              </w:rPr>
              <w:t xml:space="preserve"> 55</w:t>
            </w:r>
            <w:r w:rsidRPr="008712EC">
              <w:rPr>
                <w:rFonts w:eastAsia="SimSun"/>
                <w:lang w:eastAsia="en-US"/>
              </w:rPr>
              <w:t xml:space="preserve"> </w:t>
            </w:r>
            <w:r w:rsidRPr="00FE364B">
              <w:rPr>
                <w:rFonts w:eastAsia="SimSun"/>
                <w:lang w:eastAsia="en-US"/>
              </w:rPr>
              <w:t>(</w:t>
            </w:r>
            <w:r>
              <w:rPr>
                <w:rFonts w:eastAsia="SimSun"/>
                <w:lang w:eastAsia="en-US"/>
              </w:rPr>
              <w:t xml:space="preserve">пятидесяти пяти) рабочих </w:t>
            </w:r>
            <w:r w:rsidRPr="00FE364B">
              <w:rPr>
                <w:rFonts w:eastAsia="SimSun"/>
                <w:lang w:eastAsia="en-US"/>
              </w:rPr>
              <w:t xml:space="preserve">дней </w:t>
            </w:r>
            <w:r w:rsidRPr="008712EC">
              <w:rPr>
                <w:spacing w:val="1"/>
              </w:rPr>
              <w:t xml:space="preserve">(с правом досрочной поставки) </w:t>
            </w:r>
            <w:r>
              <w:rPr>
                <w:rFonts w:eastAsia="SimSun"/>
                <w:lang w:eastAsia="en-US"/>
              </w:rPr>
              <w:t>с момента подписания Договора</w:t>
            </w:r>
            <w:r w:rsidRPr="008712EC">
              <w:rPr>
                <w:rFonts w:eastAsia="SimSun"/>
                <w:lang w:eastAsia="en-US"/>
              </w:rPr>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6" w:name="_Ref368314453"/>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77141801"/>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8" w:name="_Ref378865603"/>
          </w:p>
        </w:tc>
        <w:bookmarkEnd w:id="18"/>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lastRenderedPageBreak/>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352231" w:rsidP="004A4199">
            <w:pPr>
              <w:tabs>
                <w:tab w:val="left" w:pos="567"/>
              </w:tabs>
              <w:jc w:val="both"/>
              <w:rPr>
                <w:rFonts w:cs="Times New Roman CYR"/>
              </w:rPr>
            </w:pPr>
            <w:proofErr w:type="gramStart"/>
            <w:r w:rsidRPr="0043647B">
              <w:t>Оплата постав</w:t>
            </w:r>
            <w:r>
              <w:t>ленного</w:t>
            </w:r>
            <w:r w:rsidRPr="0043647B">
              <w:t xml:space="preserve"> Товара </w:t>
            </w:r>
            <w:r>
              <w:t>осуществляется</w:t>
            </w:r>
            <w:r w:rsidRPr="0043647B">
              <w:t xml:space="preserve"> по факту поставки Товара</w:t>
            </w:r>
            <w:r>
              <w:t xml:space="preserve"> </w:t>
            </w:r>
            <w:r w:rsidRPr="00AA4F70">
              <w:t>(по заявке Заказчика за фактически поставленный Товар)</w:t>
            </w:r>
            <w:r w:rsidRPr="0043647B">
              <w:t xml:space="preserve">,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3647B">
              <w:rPr>
                <w:i/>
              </w:rPr>
              <w:t>(счета, в случае, если участник</w:t>
            </w:r>
            <w:r w:rsidRPr="00A01D9C">
              <w:rPr>
                <w:i/>
              </w:rPr>
              <w:t xml:space="preserve"> размещения заказа имеет право на освобождение от уплаты НДС)</w:t>
            </w:r>
            <w:r w:rsidRPr="00A01D9C">
              <w:t>.</w:t>
            </w:r>
            <w:proofErr w:type="gramEnd"/>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19" w:name="_2.3._Требования_к"/>
      <w:bookmarkStart w:id="20" w:name="_2.2._Требования_к"/>
      <w:bookmarkStart w:id="21" w:name="_Toc454968238"/>
      <w:bookmarkEnd w:id="19"/>
      <w:bookmarkEnd w:id="20"/>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1"/>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2" w:name="_Ref368314814"/>
          </w:p>
        </w:tc>
        <w:bookmarkEnd w:id="22"/>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3" w:name="_Toc313349949"/>
            <w:bookmarkStart w:id="24" w:name="_Toc313350145"/>
            <w:bookmarkStart w:id="25"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6" w:name="_Toc313349950"/>
            <w:bookmarkStart w:id="27" w:name="_Toc313350146"/>
            <w:bookmarkEnd w:id="23"/>
            <w:bookmarkEnd w:id="24"/>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6"/>
            <w:bookmarkEnd w:id="27"/>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8" w:name="_Toc313349951"/>
            <w:bookmarkStart w:id="29"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8"/>
            <w:bookmarkEnd w:id="29"/>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0" w:name="_Toc313349952"/>
            <w:bookmarkStart w:id="31" w:name="_Toc313350148"/>
            <w:bookmarkStart w:id="32" w:name="_Ref320180868"/>
            <w:bookmarkEnd w:id="25"/>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0"/>
            <w:bookmarkEnd w:id="31"/>
            <w:bookmarkEnd w:id="32"/>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
          <w:p w:rsidR="000466A7" w:rsidRDefault="001E5E11" w:rsidP="00E26300">
            <w:pPr>
              <w:ind w:firstLine="529"/>
              <w:jc w:val="both"/>
            </w:pPr>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r>
              <w:t>11</w:t>
            </w:r>
            <w:r w:rsidR="0095082F">
              <w:t xml:space="preserve">) </w:t>
            </w:r>
            <w:r w:rsidR="00493728" w:rsidRPr="00A46C6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4854D3" w:rsidRDefault="00493728" w:rsidP="00352231">
            <w:pPr>
              <w:autoSpaceDE w:val="0"/>
              <w:autoSpaceDN w:val="0"/>
              <w:adjustRightInd w:val="0"/>
              <w:ind w:left="34" w:firstLine="495"/>
              <w:jc w:val="both"/>
            </w:pPr>
            <w:r w:rsidRPr="00493728">
              <w:t xml:space="preserve">12) </w:t>
            </w:r>
            <w:r w:rsidR="004854D3" w:rsidRPr="00A07550">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(Сведения предоставляются в соответствии с </w:t>
            </w:r>
            <w:r w:rsidR="004854D3" w:rsidRPr="00A07550">
              <w:rPr>
                <w:rStyle w:val="a3"/>
              </w:rPr>
              <w:t xml:space="preserve">формой </w:t>
            </w:r>
            <w:r w:rsidR="004854D3">
              <w:rPr>
                <w:rStyle w:val="a3"/>
              </w:rPr>
              <w:t>3</w:t>
            </w:r>
            <w:r w:rsidR="004854D3" w:rsidRPr="00A07550">
              <w:rPr>
                <w:rStyle w:val="a3"/>
              </w:rPr>
              <w:t xml:space="preserve"> раздела III «ФОРМЫ ДЛЯ ЗАПОЛНЕНИЯ УЧАСТНИКАМИ»</w:t>
            </w:r>
            <w:r w:rsidR="004854D3" w:rsidRPr="00A07550">
              <w:t xml:space="preserve"> настоящей Документации</w:t>
            </w:r>
            <w:r w:rsidR="004854D3">
              <w:t>:</w:t>
            </w:r>
          </w:p>
          <w:p w:rsidR="004854D3" w:rsidRPr="00AD4F79" w:rsidRDefault="004405C6" w:rsidP="004854D3">
            <w:pPr>
              <w:ind w:firstLine="573"/>
              <w:jc w:val="both"/>
            </w:pPr>
            <w:r>
              <w:t xml:space="preserve"> </w:t>
            </w:r>
            <w:bookmarkStart w:id="33" w:name="_GoBack"/>
            <w:r w:rsidR="004854D3" w:rsidRPr="00AD4F79">
              <w:t>Для подтверждения соответствия товаров требованиям Постановления № 1875 установлена обязанность представления участником закупки в составе заявки:</w:t>
            </w:r>
          </w:p>
          <w:p w:rsidR="004854D3" w:rsidRPr="00AD4F79" w:rsidRDefault="004854D3" w:rsidP="004854D3">
            <w:pPr>
              <w:ind w:firstLine="573"/>
              <w:jc w:val="both"/>
            </w:pPr>
            <w:r w:rsidRPr="00AD4F79">
              <w:t xml:space="preserve">-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w:t>
            </w:r>
            <w:r w:rsidRPr="00AD4F79">
              <w:lastRenderedPageBreak/>
              <w:t xml:space="preserve">либо декларацию о нахождении промышленной продукции в Реестре с указанием реестрового номера, </w:t>
            </w:r>
          </w:p>
          <w:bookmarkEnd w:id="33"/>
          <w:p w:rsidR="00352231" w:rsidRPr="00854B86" w:rsidRDefault="004854D3" w:rsidP="004854D3">
            <w:pPr>
              <w:ind w:firstLine="529"/>
              <w:jc w:val="both"/>
            </w:pPr>
            <w:r w:rsidRPr="00AD4F79">
              <w:t xml:space="preserve">-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 </w:t>
            </w:r>
            <w:proofErr w:type="gramStart"/>
            <w:r w:rsidRPr="00AD4F79">
              <w:t>содержащей</w:t>
            </w:r>
            <w:proofErr w:type="gramEnd"/>
            <w:r w:rsidRPr="00AD4F79">
              <w:t xml:space="preserve"> в том числе информацию о совокупном количестве баллов за выполнение (освоение) на территории России, ЕАЭС соответствующих операций.</w:t>
            </w:r>
          </w:p>
          <w:p w:rsidR="002742FF" w:rsidRPr="002742FF" w:rsidRDefault="001E5E11" w:rsidP="00E26300">
            <w:pPr>
              <w:autoSpaceDE w:val="0"/>
              <w:autoSpaceDN w:val="0"/>
              <w:adjustRightInd w:val="0"/>
              <w:ind w:firstLine="529"/>
              <w:jc w:val="both"/>
            </w:pPr>
            <w:r>
              <w:t>1</w:t>
            </w:r>
            <w:r w:rsidR="004405C6">
              <w:t>3</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 xml:space="preserve">П </w:t>
            </w:r>
            <w:r>
              <w:lastRenderedPageBreak/>
              <w:t>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lastRenderedPageBreak/>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 xml:space="preserve">апроса котировок. </w:t>
      </w:r>
      <w:r w:rsidR="006D7D97">
        <w:rPr>
          <w:i/>
          <w:color w:val="943634" w:themeColor="accent2" w:themeShade="BF"/>
          <w:sz w:val="22"/>
        </w:rPr>
        <w:t>у</w:t>
      </w:r>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E710E9" w:rsidRPr="005C24A0" w:rsidRDefault="00E710E9" w:rsidP="00E710E9"/>
    <w:p w:rsidR="00E710E9" w:rsidRPr="001E5E11" w:rsidRDefault="00E710E9" w:rsidP="00E710E9">
      <w:pPr>
        <w:jc w:val="right"/>
      </w:pPr>
      <w:bookmarkStart w:id="67" w:name="_Форма_4_РЕКОМЕНДУЕМАЯ"/>
      <w:bookmarkEnd w:id="67"/>
      <w:r w:rsidRPr="001E5E11">
        <w:t xml:space="preserve">Приложение № 2 </w:t>
      </w:r>
    </w:p>
    <w:p w:rsidR="00E710E9" w:rsidRPr="001E5E11" w:rsidRDefault="00E710E9" w:rsidP="00E710E9">
      <w:pPr>
        <w:jc w:val="right"/>
      </w:pPr>
      <w:r w:rsidRPr="001E5E11">
        <w:t xml:space="preserve">к </w:t>
      </w:r>
      <w:r w:rsidR="004726B2">
        <w:t>заявке на участие в з</w:t>
      </w:r>
      <w:r w:rsidRPr="001E5E11">
        <w:t xml:space="preserve">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68" w:name="_Техническое_предложение_(Форма"/>
      <w:bookmarkStart w:id="69" w:name="_Toc235439567"/>
      <w:bookmarkStart w:id="70" w:name="_Toc305665991"/>
      <w:bookmarkEnd w:id="68"/>
      <w:r w:rsidRPr="001E5E11">
        <w:t>ТЕХНИКО-КОММЕРЧЕСКОЕ ПРЕДЛОЖЕНИЕ</w:t>
      </w:r>
      <w:bookmarkEnd w:id="69"/>
      <w:bookmarkEnd w:id="70"/>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4726B2" w:rsidRDefault="00E710E9" w:rsidP="00E710E9">
      <w:pPr>
        <w:tabs>
          <w:tab w:val="left" w:pos="1620"/>
          <w:tab w:val="left" w:pos="2160"/>
        </w:tabs>
        <w:suppressAutoHyphens/>
        <w:spacing w:after="80"/>
        <w:jc w:val="both"/>
        <w:rPr>
          <w:b/>
          <w:i/>
          <w:sz w:val="22"/>
          <w:szCs w:val="22"/>
          <w:lang w:eastAsia="zh-CN"/>
        </w:rPr>
      </w:pPr>
      <w:r w:rsidRPr="004726B2">
        <w:rPr>
          <w:b/>
          <w:i/>
          <w:sz w:val="22"/>
          <w:szCs w:val="22"/>
          <w:lang w:eastAsia="zh-CN"/>
        </w:rPr>
        <w:t xml:space="preserve">                                                       </w:t>
      </w:r>
      <w:r w:rsidRPr="004726B2">
        <w:rPr>
          <w:i/>
          <w:vertAlign w:val="superscript"/>
          <w:lang w:eastAsia="zh-CN"/>
        </w:rPr>
        <w:t>(предмет закупки</w:t>
      </w:r>
      <w:r w:rsidRPr="004726B2">
        <w:rPr>
          <w:i/>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vertAlign w:val="superscript"/>
          <w:lang w:eastAsia="zh-CN"/>
        </w:rPr>
        <w:t xml:space="preserve">                        </w:t>
      </w:r>
      <w:r w:rsidRPr="004726B2">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 xml:space="preserve">обязуется в случае признания нас победителями закупки, подписать </w:t>
      </w:r>
      <w:r w:rsidR="004726B2">
        <w:rPr>
          <w:sz w:val="22"/>
          <w:szCs w:val="22"/>
          <w:lang w:eastAsia="zh-CN"/>
        </w:rPr>
        <w:t>д</w:t>
      </w:r>
      <w:r w:rsidRPr="001E5E11">
        <w:rPr>
          <w:sz w:val="22"/>
          <w:szCs w:val="22"/>
          <w:lang w:eastAsia="zh-CN"/>
        </w:rPr>
        <w:t>оговор на __________________________, на условиях, представленных ниже:</w:t>
      </w:r>
    </w:p>
    <w:p w:rsidR="00E710E9" w:rsidRPr="004726B2" w:rsidRDefault="00E710E9" w:rsidP="00E710E9">
      <w:pPr>
        <w:widowControl w:val="0"/>
        <w:tabs>
          <w:tab w:val="left" w:pos="180"/>
          <w:tab w:val="left" w:pos="708"/>
        </w:tabs>
        <w:suppressAutoHyphens/>
        <w:autoSpaceDE w:val="0"/>
        <w:rPr>
          <w:b/>
          <w:bCs/>
          <w:i/>
          <w:sz w:val="22"/>
          <w:szCs w:val="22"/>
          <w:lang w:eastAsia="zh-CN"/>
        </w:rPr>
      </w:pPr>
      <w:r w:rsidRPr="001E5E11">
        <w:rPr>
          <w:b/>
          <w:bCs/>
          <w:sz w:val="22"/>
          <w:szCs w:val="22"/>
          <w:lang w:eastAsia="zh-CN"/>
        </w:rPr>
        <w:tab/>
      </w:r>
      <w:r w:rsidRPr="004726B2">
        <w:rPr>
          <w:i/>
          <w:sz w:val="22"/>
          <w:szCs w:val="22"/>
          <w:vertAlign w:val="superscript"/>
          <w:lang w:eastAsia="zh-CN"/>
        </w:rPr>
        <w:t xml:space="preserve">                  (предмет закупки)                                                          </w:t>
      </w:r>
      <w:r w:rsidRPr="004726B2">
        <w:rPr>
          <w:b/>
          <w:bCs/>
          <w:i/>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4726B2" w:rsidRDefault="004726B2" w:rsidP="00E710E9">
      <w:pPr>
        <w:shd w:val="clear" w:color="auto" w:fill="FFFFFF"/>
        <w:suppressAutoHyphens/>
        <w:ind w:right="-16"/>
        <w:jc w:val="both"/>
        <w:rPr>
          <w:spacing w:val="1"/>
          <w:sz w:val="22"/>
          <w:szCs w:val="22"/>
          <w:lang w:eastAsia="zh-CN"/>
        </w:rPr>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4B259F" w:rsidRDefault="004B259F" w:rsidP="004B259F">
            <w:pPr>
              <w:jc w:val="both"/>
              <w:rPr>
                <w:rFonts w:eastAsia="Calibri"/>
                <w:b/>
                <w:bCs/>
                <w:lang w:eastAsia="en-US"/>
              </w:rPr>
            </w:pPr>
            <w:r w:rsidRPr="004B259F">
              <w:rPr>
                <w:b/>
              </w:rPr>
              <w:t xml:space="preserve">Наименование страны происхождения поставляемого товара </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w:t>
      </w:r>
      <w:r w:rsidR="004726B2">
        <w:rPr>
          <w:spacing w:val="1"/>
          <w:sz w:val="22"/>
          <w:szCs w:val="22"/>
          <w:lang w:eastAsia="zh-CN"/>
        </w:rPr>
        <w:t>,</w:t>
      </w:r>
      <w:r w:rsidRPr="001E5E11">
        <w:rPr>
          <w:spacing w:val="1"/>
          <w:sz w:val="22"/>
          <w:szCs w:val="22"/>
          <w:lang w:eastAsia="zh-CN"/>
        </w:rPr>
        <w:t xml:space="preserve">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352231">
        <w:rPr>
          <w:i/>
          <w:sz w:val="20"/>
          <w:szCs w:val="20"/>
          <w:lang w:eastAsia="zh-CN"/>
        </w:rPr>
        <w:t>, 1.2, 1.3, 1.4</w:t>
      </w:r>
      <w:r w:rsidR="001472D2">
        <w:rPr>
          <w:i/>
          <w:sz w:val="20"/>
          <w:szCs w:val="20"/>
          <w:lang w:eastAsia="zh-CN"/>
        </w:rPr>
        <w:t>)</w:t>
      </w:r>
      <w:r w:rsidR="004A4199">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1E5E11">
        <w:rPr>
          <w:i/>
          <w:color w:val="943634" w:themeColor="accent2" w:themeShade="BF"/>
        </w:rPr>
        <w:t>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 xml:space="preserve">В настоящем технико-коммерческом предложении </w:t>
      </w:r>
      <w:r w:rsidR="004B259F">
        <w:rPr>
          <w:i/>
          <w:color w:val="943634" w:themeColor="accent2" w:themeShade="BF"/>
        </w:rPr>
        <w:t>у</w:t>
      </w:r>
      <w:r w:rsidRPr="001E5E11">
        <w:rPr>
          <w:i/>
          <w:color w:val="943634" w:themeColor="accent2" w:themeShade="BF"/>
        </w:rPr>
        <w:t>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w:t>
      </w:r>
      <w:r w:rsidR="00352231">
        <w:rPr>
          <w:i/>
          <w:color w:val="943634" w:themeColor="accent2" w:themeShade="BF"/>
          <w:lang w:eastAsia="zh-CN"/>
        </w:rPr>
        <w:t>, 1.2, 1.3, 1.4</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w:t>
      </w:r>
      <w:r w:rsidR="004B259F" w:rsidRPr="001E5E11">
        <w:rPr>
          <w:rFonts w:eastAsia="MS Mincho"/>
          <w:lang w:val="x-none" w:eastAsia="x-none"/>
        </w:rPr>
        <w:t>заявке</w:t>
      </w:r>
      <w:r w:rsidRPr="001E5E11">
        <w:rPr>
          <w:rFonts w:eastAsia="MS Mincho"/>
          <w:lang w:val="x-none" w:eastAsia="x-none"/>
        </w:rPr>
        <w:t xml:space="preserve"> на участие в </w:t>
      </w:r>
      <w:r w:rsidR="004B259F" w:rsidRPr="001E5E11">
        <w:rPr>
          <w:rFonts w:eastAsia="MS Mincho"/>
          <w:lang w:val="x-none" w:eastAsia="x-none"/>
        </w:rPr>
        <w:t>запросе</w:t>
      </w:r>
      <w:r w:rsidRPr="001E5E11">
        <w:rPr>
          <w:rFonts w:eastAsia="MS Mincho"/>
          <w:lang w:val="x-none" w:eastAsia="x-none"/>
        </w:rPr>
        <w:t xml:space="preserve">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4B259F" w:rsidRDefault="00E710E9" w:rsidP="00E710E9">
      <w:pPr>
        <w:tabs>
          <w:tab w:val="left" w:pos="1620"/>
          <w:tab w:val="left" w:pos="2160"/>
        </w:tabs>
        <w:suppressAutoHyphens/>
        <w:spacing w:after="80"/>
        <w:jc w:val="both"/>
        <w:rPr>
          <w:b/>
          <w:i/>
          <w:sz w:val="22"/>
          <w:szCs w:val="22"/>
          <w:lang w:eastAsia="zh-CN"/>
        </w:rPr>
      </w:pPr>
      <w:r w:rsidRPr="004B259F">
        <w:rPr>
          <w:b/>
          <w:i/>
          <w:sz w:val="22"/>
          <w:szCs w:val="22"/>
          <w:lang w:eastAsia="zh-CN"/>
        </w:rPr>
        <w:t xml:space="preserve">                                                                       </w:t>
      </w:r>
      <w:r w:rsidRPr="004B259F">
        <w:rPr>
          <w:i/>
          <w:vertAlign w:val="superscript"/>
          <w:lang w:eastAsia="zh-CN"/>
        </w:rPr>
        <w:t>(предмет закупки</w:t>
      </w:r>
      <w:r w:rsidRPr="004B259F">
        <w:rPr>
          <w:i/>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vertAlign w:val="superscript"/>
          <w:lang w:eastAsia="zh-CN"/>
        </w:rPr>
        <w:t xml:space="preserve">                        </w:t>
      </w:r>
      <w:r w:rsidRPr="004B259F">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4B259F" w:rsidRDefault="00E710E9" w:rsidP="00E710E9">
      <w:pPr>
        <w:widowControl w:val="0"/>
        <w:tabs>
          <w:tab w:val="left" w:pos="180"/>
          <w:tab w:val="left" w:pos="708"/>
        </w:tabs>
        <w:suppressAutoHyphens/>
        <w:autoSpaceDE w:val="0"/>
        <w:rPr>
          <w:b/>
          <w:bCs/>
          <w:i/>
          <w:sz w:val="22"/>
          <w:szCs w:val="22"/>
          <w:lang w:eastAsia="zh-CN"/>
        </w:rPr>
      </w:pPr>
      <w:r w:rsidRPr="008A33C2">
        <w:rPr>
          <w:b/>
          <w:bCs/>
          <w:sz w:val="22"/>
          <w:szCs w:val="22"/>
          <w:lang w:eastAsia="zh-CN"/>
        </w:rPr>
        <w:tab/>
      </w:r>
      <w:r w:rsidRPr="004B259F">
        <w:rPr>
          <w:i/>
          <w:sz w:val="22"/>
          <w:szCs w:val="22"/>
          <w:vertAlign w:val="superscript"/>
          <w:lang w:eastAsia="zh-CN"/>
        </w:rPr>
        <w:t xml:space="preserve">                  (предмет закупки)                                                        </w:t>
      </w:r>
      <w:r w:rsidRPr="004B259F">
        <w:rPr>
          <w:b/>
          <w:bCs/>
          <w:i/>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r w:rsidR="004B259F">
              <w:rPr>
                <w:iCs/>
                <w:color w:val="000000"/>
                <w:sz w:val="20"/>
                <w:szCs w:val="20"/>
                <w:lang w:eastAsia="zh-CN"/>
              </w:rPr>
              <w:t xml:space="preserve"> </w:t>
            </w: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4B259F">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w:t>
            </w:r>
            <w:r w:rsidR="004B259F">
              <w:rPr>
                <w:iCs/>
                <w:color w:val="000000"/>
                <w:sz w:val="20"/>
                <w:szCs w:val="20"/>
                <w:lang w:eastAsia="zh-CN"/>
              </w:rPr>
              <w:t>,</w:t>
            </w:r>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 xml:space="preserve">____________ </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iCs/>
                <w:color w:val="000000"/>
                <w:sz w:val="20"/>
                <w:szCs w:val="20"/>
                <w:lang w:eastAsia="zh-CN"/>
              </w:rPr>
              <w:t>_______________</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____________</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sz w:val="20"/>
                <w:szCs w:val="20"/>
                <w:lang w:eastAsia="zh-CN"/>
              </w:rPr>
              <w:t>________________</w:t>
            </w: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___________________</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4B259F" w:rsidP="00E710E9">
      <w:pPr>
        <w:widowControl w:val="0"/>
        <w:shd w:val="clear" w:color="auto" w:fill="FFFFFF"/>
        <w:suppressAutoHyphens/>
        <w:autoSpaceDE w:val="0"/>
        <w:ind w:right="-16"/>
        <w:rPr>
          <w:sz w:val="20"/>
          <w:szCs w:val="20"/>
          <w:lang w:eastAsia="zh-CN"/>
        </w:rPr>
      </w:pPr>
      <w:r>
        <w:rPr>
          <w:i/>
          <w:sz w:val="20"/>
          <w:szCs w:val="20"/>
          <w:lang w:eastAsia="zh-CN"/>
        </w:rPr>
        <w:t xml:space="preserve">участник закупки </w:t>
      </w:r>
      <w:r w:rsidR="00E710E9" w:rsidRPr="008A33C2">
        <w:rPr>
          <w:i/>
          <w:sz w:val="20"/>
          <w:szCs w:val="20"/>
          <w:lang w:eastAsia="zh-CN"/>
        </w:rPr>
        <w:t>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8A33C2">
        <w:rPr>
          <w:i/>
          <w:color w:val="943634" w:themeColor="accent2" w:themeShade="BF"/>
        </w:rPr>
        <w:t>частником.</w:t>
      </w:r>
    </w:p>
    <w:p w:rsidR="009D60C3" w:rsidRDefault="00E710E9" w:rsidP="00E710E9">
      <w:pPr>
        <w:jc w:val="both"/>
        <w:rPr>
          <w:rFonts w:eastAsia="MS Mincho"/>
          <w:kern w:val="32"/>
          <w:lang w:val="x-none" w:eastAsia="x-none"/>
        </w:rPr>
      </w:pPr>
      <w:r w:rsidRPr="008A33C2">
        <w:rPr>
          <w:i/>
          <w:color w:val="943634" w:themeColor="accent2" w:themeShade="BF"/>
        </w:rPr>
        <w:t xml:space="preserve">2. В настоящем ценовом предложении </w:t>
      </w:r>
      <w:r w:rsidR="004B259F">
        <w:rPr>
          <w:i/>
          <w:color w:val="943634" w:themeColor="accent2" w:themeShade="BF"/>
        </w:rPr>
        <w:t>у</w:t>
      </w:r>
      <w:r w:rsidRPr="008A33C2">
        <w:rPr>
          <w:i/>
          <w:color w:val="943634" w:themeColor="accent2" w:themeShade="BF"/>
        </w:rPr>
        <w:t>частник предоставляет предложение о цене товара (цене единицы товара) в соответствии с таблицей, указанной выше.</w:t>
      </w:r>
      <w:bookmarkStart w:id="71" w:name="_РАЗДЕЛ_IV._Техническое"/>
      <w:bookmarkEnd w:id="71"/>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776" w:rsidRDefault="00A40776" w:rsidP="00C919B0">
      <w:r>
        <w:separator/>
      </w:r>
    </w:p>
  </w:endnote>
  <w:endnote w:type="continuationSeparator" w:id="0">
    <w:p w:rsidR="00A40776" w:rsidRDefault="00A40776"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Verdana"/>
    <w:charset w:val="01"/>
    <w:family w:val="swiss"/>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0B1FF3" w:rsidRDefault="000B1FF3">
        <w:pPr>
          <w:pStyle w:val="a7"/>
          <w:jc w:val="right"/>
        </w:pPr>
        <w:r>
          <w:fldChar w:fldCharType="begin"/>
        </w:r>
        <w:r>
          <w:instrText>PAGE   \* MERGEFORMAT</w:instrText>
        </w:r>
        <w:r>
          <w:fldChar w:fldCharType="separate"/>
        </w:r>
        <w:r w:rsidR="004854D3">
          <w:rPr>
            <w:noProof/>
          </w:rPr>
          <w:t>34</w:t>
        </w:r>
        <w:r>
          <w:fldChar w:fldCharType="end"/>
        </w:r>
      </w:p>
    </w:sdtContent>
  </w:sdt>
  <w:p w:rsidR="000B1FF3" w:rsidRDefault="000B1FF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776" w:rsidRDefault="00A40776" w:rsidP="00C919B0">
      <w:r>
        <w:separator/>
      </w:r>
    </w:p>
  </w:footnote>
  <w:footnote w:type="continuationSeparator" w:id="0">
    <w:p w:rsidR="00A40776" w:rsidRDefault="00A40776"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1FF3"/>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4AB8"/>
    <w:rsid w:val="001644D7"/>
    <w:rsid w:val="001655EB"/>
    <w:rsid w:val="00172AC5"/>
    <w:rsid w:val="00173AAA"/>
    <w:rsid w:val="00173F79"/>
    <w:rsid w:val="0017659A"/>
    <w:rsid w:val="001776C2"/>
    <w:rsid w:val="00177C6C"/>
    <w:rsid w:val="00183EF8"/>
    <w:rsid w:val="001A259D"/>
    <w:rsid w:val="001A527E"/>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2231"/>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2581"/>
    <w:rsid w:val="00483BA2"/>
    <w:rsid w:val="0048404C"/>
    <w:rsid w:val="004854D3"/>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275E"/>
    <w:rsid w:val="007736BF"/>
    <w:rsid w:val="00781A1B"/>
    <w:rsid w:val="00785A2D"/>
    <w:rsid w:val="007A167B"/>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E96"/>
    <w:rsid w:val="008A33C2"/>
    <w:rsid w:val="008A7580"/>
    <w:rsid w:val="008B629A"/>
    <w:rsid w:val="008C21EB"/>
    <w:rsid w:val="008C655C"/>
    <w:rsid w:val="008C71E8"/>
    <w:rsid w:val="008D3AEF"/>
    <w:rsid w:val="008E0063"/>
    <w:rsid w:val="008E740F"/>
    <w:rsid w:val="00901026"/>
    <w:rsid w:val="009013E2"/>
    <w:rsid w:val="00901E61"/>
    <w:rsid w:val="00903AFC"/>
    <w:rsid w:val="00907FAB"/>
    <w:rsid w:val="009104E7"/>
    <w:rsid w:val="00921E1F"/>
    <w:rsid w:val="00921E41"/>
    <w:rsid w:val="00923344"/>
    <w:rsid w:val="00923424"/>
    <w:rsid w:val="00927A21"/>
    <w:rsid w:val="00931A8A"/>
    <w:rsid w:val="00931D1E"/>
    <w:rsid w:val="00932FD2"/>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0776"/>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3529"/>
    <w:rsid w:val="00B34AE8"/>
    <w:rsid w:val="00B360C9"/>
    <w:rsid w:val="00B428BE"/>
    <w:rsid w:val="00B43F37"/>
    <w:rsid w:val="00B451FF"/>
    <w:rsid w:val="00B47BC9"/>
    <w:rsid w:val="00B5179C"/>
    <w:rsid w:val="00B51EBB"/>
    <w:rsid w:val="00B54861"/>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0A15"/>
    <w:rsid w:val="00DF2C12"/>
    <w:rsid w:val="00DF5A5B"/>
    <w:rsid w:val="00E06489"/>
    <w:rsid w:val="00E11733"/>
    <w:rsid w:val="00E1631A"/>
    <w:rsid w:val="00E23901"/>
    <w:rsid w:val="00E26300"/>
    <w:rsid w:val="00E311DE"/>
    <w:rsid w:val="00E32F52"/>
    <w:rsid w:val="00E35DB7"/>
    <w:rsid w:val="00E40DE9"/>
    <w:rsid w:val="00E425C2"/>
    <w:rsid w:val="00E42661"/>
    <w:rsid w:val="00E45947"/>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0B1F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0B1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F9D3A-FF91-4D6E-A1A5-DFE970BFD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34</Pages>
  <Words>10284</Words>
  <Characters>58624</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3</cp:revision>
  <cp:lastPrinted>2025-05-26T06:48:00Z</cp:lastPrinted>
  <dcterms:created xsi:type="dcterms:W3CDTF">2025-05-26T04:23:00Z</dcterms:created>
  <dcterms:modified xsi:type="dcterms:W3CDTF">2025-05-26T06:49:00Z</dcterms:modified>
</cp:coreProperties>
</file>