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8FC" w:rsidRDefault="002624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Согласовано: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Составил:</w:t>
      </w:r>
    </w:p>
    <w:p w:rsidR="00E018FC" w:rsidRDefault="002624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Заместитель генерального директора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Контрольный механик</w:t>
      </w:r>
    </w:p>
    <w:p w:rsidR="00E018FC" w:rsidRDefault="002624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производству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018FC" w:rsidRDefault="002624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018FC" w:rsidRDefault="002624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_________________П.Н. Захаров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_________________Е.Н. Рогин</w:t>
      </w: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26244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 w:cs="Times New Roman"/>
          <w:b/>
          <w:sz w:val="28"/>
          <w:szCs w:val="28"/>
        </w:rPr>
        <w:t>. ТЕХНИЧЕСКОЕ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ЗАДАНИЕ</w:t>
      </w:r>
    </w:p>
    <w:p w:rsidR="00E018FC" w:rsidRDefault="0026244D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поставку спецжидкостей, смазок</w:t>
      </w:r>
    </w:p>
    <w:p w:rsidR="00E018FC" w:rsidRDefault="00E018F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E018F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18FC" w:rsidRDefault="0026244D">
      <w:pPr>
        <w:spacing w:after="0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>г. Ханты-Мансийск 2024г.</w:t>
      </w:r>
    </w:p>
    <w:p w:rsidR="00E018FC" w:rsidRDefault="00E018FC">
      <w:pPr>
        <w:widowControl w:val="0"/>
        <w:tabs>
          <w:tab w:val="left" w:pos="-5245"/>
        </w:tabs>
        <w:spacing w:after="0" w:line="252" w:lineRule="auto"/>
        <w:ind w:firstLine="567"/>
        <w:jc w:val="both"/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</w:pPr>
    </w:p>
    <w:p w:rsidR="00E018FC" w:rsidRDefault="00E018FC">
      <w:pPr>
        <w:widowControl w:val="0"/>
        <w:tabs>
          <w:tab w:val="left" w:pos="-5245"/>
        </w:tabs>
        <w:spacing w:after="0" w:line="252" w:lineRule="auto"/>
        <w:ind w:firstLine="567"/>
        <w:jc w:val="both"/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</w:pPr>
    </w:p>
    <w:p w:rsidR="00E018FC" w:rsidRDefault="0026244D">
      <w:pPr>
        <w:widowControl w:val="0"/>
        <w:numPr>
          <w:ilvl w:val="0"/>
          <w:numId w:val="1"/>
        </w:numPr>
        <w:tabs>
          <w:tab w:val="left" w:pos="-5245"/>
        </w:tabs>
        <w:spacing w:after="0" w:line="252" w:lineRule="auto"/>
        <w:ind w:left="567" w:firstLine="567"/>
        <w:jc w:val="both"/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</w:pPr>
      <w:r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  <w:t>Описание предмета закупки</w:t>
      </w:r>
    </w:p>
    <w:p w:rsidR="00E018FC" w:rsidRDefault="00E018FC">
      <w:pPr>
        <w:widowControl w:val="0"/>
        <w:numPr>
          <w:ilvl w:val="0"/>
          <w:numId w:val="1"/>
        </w:numPr>
        <w:tabs>
          <w:tab w:val="left" w:pos="-5245"/>
        </w:tabs>
        <w:spacing w:after="0" w:line="252" w:lineRule="auto"/>
        <w:ind w:left="567" w:firstLine="567"/>
        <w:jc w:val="both"/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</w:pPr>
    </w:p>
    <w:p w:rsidR="00E018FC" w:rsidRDefault="0026244D">
      <w:pPr>
        <w:widowControl w:val="0"/>
        <w:numPr>
          <w:ilvl w:val="0"/>
          <w:numId w:val="1"/>
        </w:numPr>
        <w:tabs>
          <w:tab w:val="left" w:pos="-5245"/>
        </w:tabs>
        <w:spacing w:after="0" w:line="252" w:lineRule="auto"/>
        <w:ind w:left="567" w:firstLine="567"/>
        <w:jc w:val="both"/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</w:pPr>
      <w:r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  <w:t xml:space="preserve">1. Наименование, характеристики и количество поставляемого Товара, требования к качеству, техническим и функциональным характеристикам </w:t>
      </w:r>
      <w:r>
        <w:rPr>
          <w:rFonts w:ascii="Liberation Serif" w:eastAsia="DejaVu Sans" w:hAnsi="Liberation Serif" w:cs="DejaVu Sans"/>
          <w:b/>
          <w:iCs/>
          <w:sz w:val="24"/>
          <w:szCs w:val="24"/>
          <w:lang w:eastAsia="zh-CN" w:bidi="hi-IN"/>
        </w:rPr>
        <w:t>(потребительским свойствам) Товара, к размерам Товара, к его безопасности, требования к упаковке, отгрузке Товара.</w:t>
      </w:r>
    </w:p>
    <w:p w:rsidR="00E018FC" w:rsidRDefault="00E018FC">
      <w:pPr>
        <w:pStyle w:val="BodyText"/>
        <w:numPr>
          <w:ilvl w:val="0"/>
          <w:numId w:val="0"/>
        </w:numPr>
        <w:spacing w:line="276" w:lineRule="auto"/>
        <w:ind w:left="567" w:right="111" w:firstLine="567"/>
        <w:rPr>
          <w:rFonts w:ascii="Times New Roman" w:hAnsi="Times New Roman"/>
          <w:sz w:val="24"/>
          <w:szCs w:val="24"/>
        </w:rPr>
      </w:pPr>
    </w:p>
    <w:p w:rsidR="00E018FC" w:rsidRDefault="0026244D">
      <w:pPr>
        <w:pStyle w:val="BodyText"/>
        <w:numPr>
          <w:ilvl w:val="0"/>
          <w:numId w:val="0"/>
        </w:numPr>
        <w:spacing w:line="276" w:lineRule="auto"/>
        <w:ind w:left="567" w:right="111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Спецжидкости, смазки (далее – Товар):</w:t>
      </w:r>
    </w:p>
    <w:p w:rsidR="00E018FC" w:rsidRDefault="00E018FC">
      <w:pPr>
        <w:pStyle w:val="BodyText"/>
        <w:numPr>
          <w:ilvl w:val="0"/>
          <w:numId w:val="0"/>
        </w:numPr>
        <w:spacing w:line="276" w:lineRule="auto"/>
        <w:ind w:left="284" w:right="111" w:firstLine="424"/>
        <w:rPr>
          <w:rFonts w:ascii="Times New Roman" w:hAnsi="Times New Roman"/>
          <w:sz w:val="24"/>
          <w:szCs w:val="24"/>
        </w:rPr>
      </w:pPr>
    </w:p>
    <w:p w:rsidR="00E018FC" w:rsidRDefault="0026244D">
      <w:pPr>
        <w:pStyle w:val="BodyText"/>
        <w:numPr>
          <w:ilvl w:val="1"/>
          <w:numId w:val="2"/>
        </w:numPr>
        <w:tabs>
          <w:tab w:val="left" w:pos="1418"/>
          <w:tab w:val="left" w:pos="1560"/>
        </w:tabs>
        <w:spacing w:line="240" w:lineRule="auto"/>
        <w:ind w:left="567" w:right="111" w:firstLine="567"/>
        <w:rPr>
          <w:rFonts w:ascii="Times New Roman" w:hAnsi="Times New Roman"/>
          <w:b/>
          <w:sz w:val="24"/>
          <w:szCs w:val="24"/>
          <w:lang w:bidi="hi-IN"/>
        </w:rPr>
      </w:pPr>
      <w:r>
        <w:rPr>
          <w:rFonts w:ascii="Times New Roman" w:hAnsi="Times New Roman"/>
          <w:b/>
          <w:sz w:val="24"/>
          <w:szCs w:val="24"/>
          <w:lang w:bidi="hi-IN"/>
        </w:rPr>
        <w:t>Наименование и количество поставляемого товара:</w:t>
      </w:r>
    </w:p>
    <w:p w:rsidR="00E018FC" w:rsidRDefault="00E018FC">
      <w:pPr>
        <w:pStyle w:val="BodyText"/>
        <w:numPr>
          <w:ilvl w:val="0"/>
          <w:numId w:val="0"/>
        </w:numPr>
        <w:spacing w:line="240" w:lineRule="auto"/>
        <w:ind w:left="846" w:right="111"/>
        <w:rPr>
          <w:rFonts w:ascii="Times New Roman" w:hAnsi="Times New Roman"/>
          <w:b/>
          <w:sz w:val="24"/>
          <w:szCs w:val="24"/>
          <w:lang w:bidi="hi-IN"/>
        </w:rPr>
      </w:pPr>
    </w:p>
    <w:tbl>
      <w:tblPr>
        <w:tblW w:w="15163" w:type="dxa"/>
        <w:tblInd w:w="426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9949"/>
        <w:gridCol w:w="2408"/>
        <w:gridCol w:w="2268"/>
      </w:tblGrid>
      <w:tr w:rsidR="00E018FC">
        <w:trPr>
          <w:trHeight w:val="443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№п/п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Наименование товара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Ед. изм.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Общее кол-во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Тосол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 класса g12 (красный)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 класса g12 (желтый)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 класса g11 (зеленый)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99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Тормозная жидкость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DOT</w:t>
            </w:r>
            <w:r>
              <w:rPr>
                <w:rFonts w:ascii="Times New Roman" w:hAnsi="Times New Roman"/>
                <w:sz w:val="24"/>
                <w:szCs w:val="24"/>
              </w:rPr>
              <w:t>-4 или эквивалент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Мочевина «AdBlue»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моторное «ЛУКОЙЛ АВАНГАРД» дизельное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«М-8ДМ»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«М-10ДМ»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«Shell Helix HX7»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Mobil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Delvac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Extra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Mobil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Disel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трансмиссионное «ТАД-17И»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99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трансмиссионное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ROLF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UTT</w:t>
            </w:r>
            <w:r>
              <w:rPr>
                <w:rFonts w:ascii="Times New Roman" w:hAnsi="Times New Roman"/>
                <w:sz w:val="24"/>
                <w:szCs w:val="24"/>
              </w:rPr>
              <w:t>О» 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30 или эквивалент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lastRenderedPageBreak/>
              <w:t>15</w:t>
            </w:r>
          </w:p>
        </w:tc>
        <w:tc>
          <w:tcPr>
            <w:tcW w:w="99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Масло трансмиссионное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ZI</w:t>
            </w:r>
            <w:r>
              <w:rPr>
                <w:rFonts w:ascii="Times New Roman" w:hAnsi="Times New Roman"/>
                <w:sz w:val="24"/>
                <w:szCs w:val="24"/>
              </w:rPr>
              <w:t>С» 75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90 или эквивалент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99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трансмиссионное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ZIC</w:t>
            </w:r>
            <w:r>
              <w:rPr>
                <w:rFonts w:ascii="Times New Roman" w:hAnsi="Times New Roman"/>
                <w:sz w:val="24"/>
                <w:szCs w:val="24"/>
              </w:rPr>
              <w:t>”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DEXRON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) или эквивалент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гидравлическое «SINTEC»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гидравлическое «Kixx Hydro GS HVZ 32»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Смазка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литиевая «Mobil XHP222»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018FC">
        <w:trPr>
          <w:trHeight w:val="295"/>
        </w:trPr>
        <w:tc>
          <w:tcPr>
            <w:tcW w:w="5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uppressLineNumbers/>
              <w:spacing w:after="0" w:line="240" w:lineRule="auto"/>
              <w:jc w:val="center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9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Смазка универсальная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WD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-40» или эквивалент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018FC" w:rsidRDefault="00E018FC">
      <w:pPr>
        <w:spacing w:after="0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18FC" w:rsidRDefault="0026244D">
      <w:pPr>
        <w:pStyle w:val="af"/>
        <w:numPr>
          <w:ilvl w:val="1"/>
          <w:numId w:val="2"/>
        </w:numPr>
        <w:tabs>
          <w:tab w:val="left" w:pos="1560"/>
        </w:tabs>
        <w:spacing w:after="0"/>
        <w:ind w:left="426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Характеристики, технические характеристики к размерам Товара, к функциональным характеристикам (потребительским свойствам Товара).</w:t>
      </w:r>
    </w:p>
    <w:p w:rsidR="00E018FC" w:rsidRDefault="0026244D">
      <w:pPr>
        <w:shd w:val="clear" w:color="auto" w:fill="FFFFFF"/>
        <w:tabs>
          <w:tab w:val="left" w:pos="1560"/>
        </w:tabs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Смазки предназначены для смазывания узлов трения и сопряженных поверхностей «металл—металл» и «металл—резина». Предназначены для применения в подшипниках качения и скольжения всех типов, с повышенными нагрузками и частотами вращения, а также для использова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ния в любых болтовых контактных соединениях, как медь-медь, алюминий-алюминий, медь-алюминий, медь-железо вращающихся деталей и частей механизмов компрессоров, насосов, дизелей, двигателей. </w:t>
      </w:r>
    </w:p>
    <w:p w:rsidR="00E018FC" w:rsidRDefault="0026244D">
      <w:pPr>
        <w:shd w:val="clear" w:color="auto" w:fill="FFFFFF"/>
        <w:tabs>
          <w:tab w:val="left" w:pos="1560"/>
        </w:tabs>
        <w:spacing w:after="0" w:line="240" w:lineRule="auto"/>
        <w:ind w:left="426"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Спецжидкости используютя в технике в качестве рабочего тела, 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также как охлаждающие, разделительные или противообледенительные агенты.</w:t>
      </w:r>
    </w:p>
    <w:p w:rsidR="00E018FC" w:rsidRDefault="0026244D">
      <w:pPr>
        <w:tabs>
          <w:tab w:val="left" w:pos="1560"/>
        </w:tabs>
        <w:spacing w:after="0"/>
        <w:ind w:left="42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Спецжидкости</w:t>
      </w:r>
    </w:p>
    <w:tbl>
      <w:tblPr>
        <w:tblW w:w="15200" w:type="dxa"/>
        <w:tblInd w:w="422" w:type="dxa"/>
        <w:tblLayout w:type="fixed"/>
        <w:tblLook w:val="04A0" w:firstRow="1" w:lastRow="0" w:firstColumn="1" w:lastColumn="0" w:noHBand="0" w:noVBand="1"/>
      </w:tblPr>
      <w:tblGrid>
        <w:gridCol w:w="639"/>
        <w:gridCol w:w="1412"/>
        <w:gridCol w:w="3902"/>
        <w:gridCol w:w="4499"/>
        <w:gridCol w:w="1312"/>
        <w:gridCol w:w="2012"/>
        <w:gridCol w:w="1424"/>
      </w:tblGrid>
      <w:tr w:rsidR="00E018FC">
        <w:trPr>
          <w:trHeight w:val="567"/>
        </w:trPr>
        <w:tc>
          <w:tcPr>
            <w:tcW w:w="151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Охлаждающие жидкости</w:t>
            </w:r>
          </w:p>
        </w:tc>
      </w:tr>
      <w:tr w:rsidR="00E018FC">
        <w:trPr>
          <w:trHeight w:val="567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товара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 одной тары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литрах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кол-во в литрах</w:t>
            </w:r>
          </w:p>
        </w:tc>
      </w:tr>
      <w:tr w:rsidR="00E018FC">
        <w:trPr>
          <w:trHeight w:val="567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Тосол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Основное назначение – отвод тепла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двигателя, циркулирует по системе мотора, забирает тепло от двигателя, переносит его в радиатор, где быстро охлаждается встречными потоками ветра.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10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420</w:t>
            </w: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Внешний вид: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Прозрачная, однородная, окрашенная жидкость без механических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примесей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Плотность г/см3, при 20°С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1,065 до 1,085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начала кристаллизации °С: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выше минус 40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Фракционные данные: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температура начала перегонки, С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массовая доля жидкости, перегоняемой до достижения температуры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150°С,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ниже 100</w:t>
            </w: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более 50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Коррозионное воздействие на металлы г/м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сутки: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медь, латунь, сталь, чугун, алюминий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припой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более 0,2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Вспениваемость: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объем пены, см3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устойчивость пены, 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более 30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более 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Набухание резин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более 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Водородный показатель (рН)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7,5 до 11,0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Щелочность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менее 10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28084-89 (СТ СЭВ 2130-80). Жидкости охлаждающие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низкозамерзающие. Общие технические условия, Техническому регламенту таможенного союза ТР ТС 030/2012 «О требованиях к смазочным материалам, маслам и специальным жидкостям», ГОСТ Р 56461-2015 «Безопасность транспортная. Общие требования».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класса g12 (красный)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Специальная жидкость, предназначенная для охлаждения нагревающихся при работе агрегатов, двигателей внутреннего сгорания, промышленных установок, насосов и т.п. при работе ниже нуля. Особенностью является низкая температура замерзания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высокая температура кипения.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10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Внешний вид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Однородная прозрачная окрашенная жидкость без механических примесей;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Плотность при температуре 20°С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1,065 до 1,085 г/cм3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начала кристаллизации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выше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минус 37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Температура кипения при давлении 101,3кПа (760 мм.рт.ст.)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108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Массовая доля воды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50 %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Запас щелочности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 см3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Вспениваемость: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объем пены через 5 мин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время исчезновения пены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30 cм3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 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Водородный показатель (рН) при температуре 20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6,5 до 11,0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Коррозионное воздействие на металлы, г/м3 в сутки: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медь М1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латунь Л68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припой ПОС-35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алюминий АК-6М2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чугун GН-190 Сч-25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сталь СТ-20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0,2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 Фракционные данные: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температура начала перегонки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массовая доля жидкости, перегоняемой до температуры 150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100 °С</w:t>
            </w: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40%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 соответствует требованиям ГОСТ 33591-2015 «Жидкости, охлаждающие на основе гликолей для автомобилей с легкими условиями эксплуатации. Технические требования», Техническому регламенту таможенного союза ТР ТС 030/2012 «О требованиях к смазочным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материалам, маслам и специальным жидкостям», ГОСТ Р 56461-2015 «Безопасность транспортная. Общие требования».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(желтый)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Охлаждающая жидкость обеспечивает долговечную работу сальников водяного насоса, надежно защищает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металлические детали системы охлаждения и мотора от коррозии и кавитации. В состав охлаждающей жидкости входит этиленгликоль в качестве основы, а также пакет современных антикоррозийных, антипенных, антикавитационных присадок. В ней отсутствуют вещества,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риводящие к формированию вредных отложений внутри системы. Цвет жидкости – желтый.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Подходит для любых бензиновых и дизельных двигателей грузовых и легковых транспортных средств для высокофорсированных моторов, оснащенных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турбонаддувом, интеркулером.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5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Внешний вид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Однородная прозрачная окрашенная жидкость без механических примесей;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Плотность при температуре 20°С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1,085 до 1,100 г/cм3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начала кристаллизации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минус 65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Температура кипения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давлении 101,3кПа (760 мм.рт.ст.)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100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Массовая доля воды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40 %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Запас щелочности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 см3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Вспениваемость: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объем пены через 5 мин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время исчезновения пены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30 cм3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 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Водородный показатель (рН) при температуре 20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6,5 до 11,0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Коррозионное воздействие на металлы, г/м3 в сутки: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медь М1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латунь Л68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припой ПОС-35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алюминий АК-6М2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чугун GН-190 Сч-25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сталь СТ-20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0,2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 Фракционные данные: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начала перегонки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массовая доля жидкости, перегоняемой до температуры 150 °С</w:t>
            </w:r>
          </w:p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100 °С</w:t>
            </w: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40%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33591-2015 «Жидкости, охлаждающие на основе гликолей для автомобилей с легкими условиями эксплуатации. Технические требования», Техническому регламенту таможенного союза ТР ТС 030/2012 «О требованиях к смазочным материалам,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маслам и специальным жидкостям»,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ГОСТ Р 56461-2015 «Безопасность транспортная. Общие требования».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Антифриз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 (зеленый)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Обладает ярко выраженными антизамерзающими свойствами. Жидкость является охлаждающей, то есть используется там, где необходимо применение специальных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средств, предотвращающих переход жидкостей в твердое состояние при отрицательных температурах окружающей среды. При производстве жидкости применяется специализированный набор присадок, которые производятся на основе солей карбоновых кислот. Присадки обеспе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чивают защиту системы охлаждения двигателей внутреннего сгорания от коррозии и образования продуктов кипения.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Данный антифриз предназначается для использования в системах охлаждения двигателей, использующих при работу принцип внутреннего сгорания топлива.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Жидкость может быть применена, как рабочая жидкость в иных системах теплового обмена, которые эксплуатируются при низких и средних показателях температуры окружающей среды.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10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Внешний вид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Однородная прозрачная окрашенная жидкость без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механических примесей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Плотность при температуре 20°С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1,065 до 1,085 г/cм3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начала кристаллизации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минус 37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4.Температура кипения при давлении 101,3кПа (760 мм.рт.ст.)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108 °С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54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Массовая доля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50 %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80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Запас щелочности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 см3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Вспениваемость: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объем пены через 5 мин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исчезновения пены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30 cм3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3 cм3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Водородный показатель (рН) при температуре 20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6,5 до 11,0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Коррозионное воздействие на металлы, г/м3 в сутки: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медь М1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латунь Л68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припой ПОС-35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алюминий АК-6М2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чугун GН-190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сталь СТ-20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более 0,2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0,1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 Фракционные данные: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начала перегонки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массовая доля жидкости, перегоняемой до температуры 150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100 °С;</w:t>
            </w:r>
          </w:p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55%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33591-2015 «Жидкости, охлаждающие на основе гликолей для автомобилей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легкими условиями эксплуатации. Технические требования», Техническому регламенту таможенного союза ТР ТС 030/2012 «О требованиях к смазочным материалам, маслам и специальным жидкостям», ГОСТ Р 56461-2015 «Безопасность транспортная. Общие требования».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9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Тормозная жидкость DOT-4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tbl>
            <w:tblPr>
              <w:tblW w:w="8325" w:type="dxa"/>
              <w:tblLayout w:type="fixed"/>
              <w:tblLook w:val="04A0" w:firstRow="1" w:lastRow="0" w:firstColumn="1" w:lastColumn="0" w:noHBand="0" w:noVBand="1"/>
            </w:tblPr>
            <w:tblGrid>
              <w:gridCol w:w="5492"/>
              <w:gridCol w:w="2833"/>
            </w:tblGrid>
            <w:tr w:rsidR="00E018FC">
              <w:trPr>
                <w:trHeight w:val="586"/>
              </w:trPr>
              <w:tc>
                <w:tcPr>
                  <w:tcW w:w="8324" w:type="dxa"/>
                  <w:gridSpan w:val="2"/>
                  <w:tcBorders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-1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Специальная жидкость, предназначенная для заполнения гидравлической тормозной системы автомобиля и обеспечивающая её работоспособность при любых условиях эксплуатации</w:t>
                  </w:r>
                </w:p>
              </w:tc>
            </w:tr>
            <w:tr w:rsidR="00E018FC">
              <w:trPr>
                <w:trHeight w:val="586"/>
              </w:trPr>
              <w:tc>
                <w:tcPr>
                  <w:tcW w:w="549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14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Вязкость кинематическая при 100°С, мм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2833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1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менее 2,2</w:t>
                  </w:r>
                </w:p>
              </w:tc>
            </w:tr>
            <w:tr w:rsidR="00E018FC">
              <w:trPr>
                <w:trHeight w:val="333"/>
              </w:trPr>
              <w:tc>
                <w:tcPr>
                  <w:tcW w:w="549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 Вязкость кинематическая при 40°С, мм</w:t>
                  </w:r>
                  <w:r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2833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менее 1570</w:t>
                  </w:r>
                </w:p>
              </w:tc>
            </w:tr>
            <w:tr w:rsidR="00E018FC">
              <w:trPr>
                <w:trHeight w:val="586"/>
              </w:trPr>
              <w:tc>
                <w:tcPr>
                  <w:tcW w:w="549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3.Температура кипения сухой жидкости, °С</w:t>
                  </w:r>
                </w:p>
              </w:tc>
              <w:tc>
                <w:tcPr>
                  <w:tcW w:w="2833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2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менее 255</w:t>
                  </w:r>
                </w:p>
              </w:tc>
            </w:tr>
            <w:tr w:rsidR="00E018FC">
              <w:trPr>
                <w:trHeight w:val="586"/>
              </w:trPr>
              <w:tc>
                <w:tcPr>
                  <w:tcW w:w="5491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4.Температура кипения увлажненной жидкости, °С</w:t>
                  </w:r>
                </w:p>
              </w:tc>
              <w:tc>
                <w:tcPr>
                  <w:tcW w:w="2833" w:type="dxa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0"/>
                    <w:right w:val="single" w:sz="4" w:space="0" w:color="000000"/>
                  </w:tcBorders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менее 156</w:t>
                  </w:r>
                </w:p>
              </w:tc>
            </w:tr>
            <w:tr w:rsidR="00E018FC">
              <w:trPr>
                <w:trHeight w:val="586"/>
              </w:trPr>
              <w:tc>
                <w:tcPr>
                  <w:tcW w:w="8324" w:type="dxa"/>
                  <w:gridSpan w:val="2"/>
                  <w:tcBorders>
                    <w:top w:val="single" w:sz="4" w:space="0" w:color="000000"/>
                    <w:left w:val="single" w:sz="4" w:space="0" w:color="00000A"/>
                    <w:bottom w:val="single" w:sz="4" w:space="0" w:color="00000A"/>
                    <w:right w:val="single" w:sz="4" w:space="0" w:color="000000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/>
                    <w:ind w:left="0"/>
                    <w:jc w:val="both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Качество и безопасность соответствует требованиям ГОСТ 29200-91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«Транспорт дорожный. Графические символы</w:t>
                  </w:r>
                  <w:r>
                    <w:rPr>
                      <w:rFonts w:ascii="Times New Roman" w:hAnsi="Times New Roman"/>
                    </w:rPr>
                    <w:t xml:space="preserve">, обозначающие типы тормозных жидкостей», ГОСТ ИСО 4925-2020 «Транспорт дорожный. Жидкости тормозные на ненефтяной основе для гидравлических систем. Технические условия»,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Техническому регламенту Таможенного Союза ТР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 030/2012 «О требованиях к смазочным материалам, маслам и специальным жидкостям», ГОСТ Р 56461-2015 «Безопасность транспортная. Общие требования».</w:t>
                  </w:r>
                </w:p>
              </w:tc>
            </w:tr>
          </w:tbl>
          <w:p w:rsidR="00E018FC" w:rsidRDefault="00E018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литры</w:t>
            </w:r>
          </w:p>
        </w:tc>
        <w:tc>
          <w:tcPr>
            <w:tcW w:w="20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10</w:t>
            </w:r>
          </w:p>
        </w:tc>
        <w:tc>
          <w:tcPr>
            <w:tcW w:w="14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E018FC">
        <w:trPr>
          <w:trHeight w:val="599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Мочевина «AdBlue»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tbl>
            <w:tblPr>
              <w:tblW w:w="8363" w:type="dxa"/>
              <w:tblLayout w:type="fixed"/>
              <w:tblLook w:val="04A0" w:firstRow="1" w:lastRow="0" w:firstColumn="1" w:lastColumn="0" w:noHBand="0" w:noVBand="1"/>
            </w:tblPr>
            <w:tblGrid>
              <w:gridCol w:w="4961"/>
              <w:gridCol w:w="3402"/>
            </w:tblGrid>
            <w:tr w:rsidR="00E018FC">
              <w:trPr>
                <w:trHeight w:val="510"/>
              </w:trPr>
              <w:tc>
                <w:tcPr>
                  <w:tcW w:w="8362" w:type="dxa"/>
                  <w:gridSpan w:val="2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Мочевина – жидкость, полученная на основе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мочевины и дистиллированной воды, бесцветная, прозрачная, с легким запахом аммиака. Содержание мочевины составляет 32,5 %. Мочевина – природный компонент, химически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стабильный, не токсичный и не воспламеняемый.</w:t>
                  </w:r>
                </w:p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Продукт предназначен для использования в авто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бусах и грузовых коммерческих автомобилях, оборудованных системой селективного каталитического восстановления для снижения содержания окислов азота в выхлопных газах. Система впрыскивает с помощью сжатого воздуха присадку перед катализатором в горячие выхл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опные газы. При высоких температурах мочевина распадается на аммиак и углекислый газ.</w:t>
                  </w:r>
                </w:p>
              </w:tc>
            </w:tr>
            <w:tr w:rsidR="00E018FC">
              <w:trPr>
                <w:trHeight w:val="300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1. Содержание мочевины, %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31,8</w:t>
                  </w:r>
                </w:p>
              </w:tc>
            </w:tr>
            <w:tr w:rsidR="00E018FC">
              <w:trPr>
                <w:trHeight w:val="261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2. Температура кристаллизации,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>о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−11,5</w:t>
                  </w:r>
                </w:p>
              </w:tc>
            </w:tr>
            <w:tr w:rsidR="00E018FC">
              <w:trPr>
                <w:trHeight w:val="265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 Показатель преломления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1,3817</w:t>
                  </w:r>
                </w:p>
              </w:tc>
            </w:tr>
            <w:tr w:rsidR="00E018FC">
              <w:trPr>
                <w:trHeight w:val="256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 Теплопроводность, Вт/(м·K)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не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менее 0,57</w:t>
                  </w:r>
                </w:p>
              </w:tc>
            </w:tr>
            <w:tr w:rsidR="00E018FC">
              <w:trPr>
                <w:trHeight w:val="259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 Удельная теплоёмкость</w:t>
                  </w:r>
                  <w: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Дж/(г·К)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3,51</w:t>
                  </w:r>
                </w:p>
              </w:tc>
            </w:tr>
            <w:tr w:rsidR="00E018FC">
              <w:trPr>
                <w:trHeight w:val="405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6. Удельная теплота плавления Дж/г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270</w:t>
                  </w:r>
                </w:p>
              </w:tc>
            </w:tr>
            <w:tr w:rsidR="00E018FC">
              <w:trPr>
                <w:trHeight w:val="270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7. Плотность при 20 °C, г/см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1,087</w:t>
                  </w:r>
                </w:p>
              </w:tc>
            </w:tr>
            <w:tr w:rsidR="00E018FC">
              <w:trPr>
                <w:trHeight w:val="259"/>
              </w:trPr>
              <w:tc>
                <w:tcPr>
                  <w:tcW w:w="4960" w:type="dxa"/>
                  <w:tcBorders>
                    <w:left w:val="single" w:sz="4" w:space="0" w:color="00000A"/>
                    <w:bottom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8. Вязкость, мПа·с</w:t>
                  </w:r>
                </w:p>
              </w:tc>
              <w:tc>
                <w:tcPr>
                  <w:tcW w:w="340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widowControl w:val="0"/>
                    <w:spacing w:after="0" w:line="240" w:lineRule="auto"/>
                    <w:ind w:left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не менее 1,4</w:t>
                  </w:r>
                </w:p>
              </w:tc>
            </w:tr>
            <w:tr w:rsidR="00E018FC">
              <w:trPr>
                <w:trHeight w:val="510"/>
              </w:trPr>
              <w:tc>
                <w:tcPr>
                  <w:tcW w:w="8362" w:type="dxa"/>
                  <w:gridSpan w:val="2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E018FC" w:rsidRDefault="0026244D">
                  <w:pPr>
                    <w:pStyle w:val="af"/>
                    <w:widowControl w:val="0"/>
                    <w:spacing w:after="0" w:line="240" w:lineRule="auto"/>
                    <w:ind w:left="34"/>
                    <w:jc w:val="both"/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Качество и безопасность соответствует требованиям ГОСТ Р ИСО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22241-1-2012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Двигатели дизельные. Восстановитель оксидов азота AUS 32. Часть 1. Требования к качеству»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Техническому регламенту таможенного союза ТР ТС 030/2012 «О требованиях к смазочным материалам, маслам и специальным жидкостям», ГОСТ Р 56461-2015 «Без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зоны 300 мг/м3 и к 3-му классу опа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сности с предельно допустимой концентрацией масляного тумана 5 мг/м3.</w:t>
                  </w:r>
                </w:p>
              </w:tc>
            </w:tr>
          </w:tbl>
          <w:p w:rsidR="00E018FC" w:rsidRDefault="00E018FC">
            <w:pPr>
              <w:pStyle w:val="af"/>
              <w:widowControl w:val="0"/>
              <w:spacing w:after="0"/>
              <w:ind w:left="-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E018FC">
        <w:trPr>
          <w:trHeight w:val="599"/>
        </w:trPr>
        <w:tc>
          <w:tcPr>
            <w:tcW w:w="151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Масла моторные</w:t>
            </w:r>
          </w:p>
        </w:tc>
      </w:tr>
      <w:tr w:rsidR="00E018FC">
        <w:trPr>
          <w:trHeight w:val="536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товара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 одной тары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литрах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кол-во в литрах</w:t>
            </w:r>
          </w:p>
        </w:tc>
      </w:tr>
      <w:tr w:rsidR="00E018FC">
        <w:trPr>
          <w:trHeight w:val="536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моторное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«ЛУКОЙЛ АВАНГАР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Д» дизельное или эквивален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Универсальное высококачественное всесезонное моторное масло, предназначенное для эксплуатации высокооборотных четырехтактных тяжело нагруженных атмосферных и турбированных дизельных двигателей грузовых и легковых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автомобилей отечественного и зарубежного производства, а также высокофорсированных безнаддувных бензиновых двигателей.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340</w:t>
            </w: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Плотность при 15°С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873 кг/м³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Вязкость кинематическая при 100°С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менее14.3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мм²/с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162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Динамическая вязкость при 25°С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5375 мПа*с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Динамическая вязкость при 30°С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29307 мПа*с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Щелочное число, мг КОН на 1 г масла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8.5 мг – KOH/г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Щелочное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мг КОН на 1 г масла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менее10.8 мг KOH/г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Сульфатная зольность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более1.4 %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Температура вспышки в открытом тигле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216°С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 Температура застывания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выше35°C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ГОСТ 17479.1-2015 «Масла моторные. Классификация и обозначение», Техническому регламенту таможенного союза ТР ТС 030/2012 «О требованиях к смазочным материалам, маслам и специальным жидкостям», ГОСТ 12337-2020 «Масла моторные для дизельных двигателей. Техн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ические условия»,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703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«М-8ДМ»  дизельное или эквивалент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Предназначено для высокофорсированных дизелей с турбонаддувом, работающих в тяжелых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условиях. Может использоваться в дизелях без наддува со значительно увеличенным интервалом замены масла. При сгорании должно образоваться небольшое количество золы и высокотемпературных отложений.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E018FC">
        <w:trPr>
          <w:trHeight w:val="703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Кинематическая вязкость, мм2/с:</w:t>
            </w:r>
          </w:p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100 °С</w:t>
            </w:r>
          </w:p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 -12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pStyle w:val="af"/>
              <w:widowControl w:val="0"/>
              <w:spacing w:after="0" w:line="240" w:lineRule="auto"/>
              <w:ind w:left="2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8,0 до 8,5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4000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102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5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Содержание механических примесей,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0,02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93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Температура вспышки в закрытом тигле,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205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0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-30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84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Моющие свойства по ПЗВ, баллы,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97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Щелочное число, мг КОН/г,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8,5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4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Сульфатная зольность %,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1,5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8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Плотность при 20 °С, г/см3,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0,897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8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 Массовая доля активных элементов, %: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кальция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цинка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0,30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0,09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703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17479.1-2015 «Масла моторные. Классификация и обозначение», Техническому регламенту таможенного союза ТР ТС 030/2012 «О требованиях к смазочным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материалам, маслам и специальным жидкостям»,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ГОСТ 8581-2021 «Масла моторные для автотракторных дизелей. Технические условия», , ГОСТ 12337-2020 «Масла моторные для дизельных двигателей. Технические условия», ГОСТ Р 56461-2015 «Безопасность транспортная. 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зоны 300 мг/м3 и к 3-му классу опасности с предельно допусти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«М-10ДМ»  дизельное или эквивалент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Универсальная смазочная система с низкой степенью зольности. Продукт изготавливают на основе дистиллятных и остаточных компонентов нефти с сернистыми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соединениями с добавлением пакета присадок для улучшения эксплуатационных характеристик.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E018FC">
        <w:trPr>
          <w:trHeight w:val="227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Кинематическая вязкость, мм2/с при 100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11,4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63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7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Содержание механических примесей,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более 0,025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Температура вспышки в закрытом тигле,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220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8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-18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1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Щелочное число, мг КОН/г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8,2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Сульфатная зольность,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1,5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Плотность при 20 °С, г/см3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более 0,905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Массовая доля активных элементов, %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кальция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цинка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pStyle w:val="af"/>
              <w:widowControl w:val="0"/>
              <w:spacing w:after="0" w:line="240" w:lineRule="auto"/>
              <w:ind w:left="723" w:hanging="6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E018FC">
            <w:pPr>
              <w:pStyle w:val="af"/>
              <w:widowControl w:val="0"/>
              <w:spacing w:after="0" w:line="240" w:lineRule="auto"/>
              <w:ind w:left="723" w:hanging="68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0,30</w:t>
            </w:r>
          </w:p>
          <w:p w:rsidR="00E018FC" w:rsidRDefault="0026244D">
            <w:pPr>
              <w:widowControl w:val="0"/>
              <w:tabs>
                <w:tab w:val="left" w:pos="63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0,09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17479.1-2015 «Масла моторные. Классификация и обозначение», Техническому регламенту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таможенного союза ТР ТС 030/2012 «О требованиях к смазочным материалам, маслам и специальным жидкостям» ГОСТ 8581-2021 «Масла моторные для автотракторных дизелей. Технические условия»,  ГОСТ 12337-2020 «Масла моторные для дизельных двигателей. Технические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условия»,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«Shell Helix HX7» 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Полусинтетическое масло - синтез масел из природного газа, масло имеет низкую зольность.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Минеральная добавка необходима для стабилизации вязкости при больших нагрузках и перегреве.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Подходит для двигателей с питанием бензином, газом и дизелем, работающих в напряженном городском режиме. Подходит для систем с катализаторами и современной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смешанной очистки, соответствующих экологическому стандарту Евро-4 и Евро-5.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4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268</w:t>
            </w: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Кинематическая вязкость при температуре 40°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96,31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Кинематическая вязкость при температуре 100°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менее14,37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3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154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Динамическая вязкость при -30°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21100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43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Плотность при 15°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кг/м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860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34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Температура вспышки,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246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3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Температура застывания,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-45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5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требованиям ГОСТ 17479.1-2015 «Масла моторные. Классификация и обозначение», Техническому регламенту таможенного союза ТР ТС 030/2012 «О требованиях к смазочным материалам, маслам и специальным жидкостям», ГОСТ 8581-2021 «Масла моторные для автотракторных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дизелей. Технические условия», ГОСТ 12337-2020 «Масла моторные для дизельных двигателей. Технические условия», ГОСТ Р 56461-2015 «Безопасность транспортная. Общие требования». По степени воздействия на организм человека масла относятся к 4-му классу опасно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 по ГОСТ 12.1.007-76 с предельно допустимой концентрацией паров углеводородов в воздухе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18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Масло моторное «Mobil Delvac MX Extra»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эквивалент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Моторное масло с очень высокими эксплуатационными свойствами, обеспечивающее высокоэффективное смазывание, поддержание чистоты деталей и продление срока службы современных дизельных и бензиновых двигателей, работающих в тяжелых условиях. Масло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екомендуется для двигателей европейских, японских и американских производителей. Разработано с применением смеси базовых масел, произведенных при помощи передовой технологии, и сбалансированной системы присадок для достижения требуемой окислительной стабил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ьности, диспергирующих и противоизносных свойств, которые дополняются способностью снижать образование отложений на поршнях и уменьшать шламообразование, способствуя увеличению срока службы двигателя. Температурные характеристики обеспечивают его надежные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пусковые свойства и прокачиваемость при низкой температуре.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для автомобилей, которым приходится работать в тяжелых условиях, грузовиков, спецтехники, задействованной в строительной, горной и сельскохозяйственной отрасли.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</w:tr>
      <w:tr w:rsidR="00E018FC">
        <w:trPr>
          <w:trHeight w:val="518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Вязкость кинематическая: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 40°С</w:t>
            </w: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при 100°С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018FC" w:rsidRDefault="00E018F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102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14,7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6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150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1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Зольность сульфатная,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1,15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Общее щелочное число, мг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10,6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5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выше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-39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Температура вспышки,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223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3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Плотность при 15°С, кг/л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0,868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8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17479.1-2015 «Масла моторные. Классификация и обозначение», Техническому регламенту таможенного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союза ТР ТС 030/2012 «О требованиях к смазочным материалам, маслам и специальным жидкостям», ГОСТ 8581-2021 «Масла моторные для автотракторных дизелей. Технические условия», ГОСТ 12337-2020 «Масла моторные для дизельных двигателей. Технические условия», 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зоны 300 мг/м3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8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моторное «Mobil Disel»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Моторное масло с очень высокими эксплуатационными свойствами, обеспечивающее высокоэффективное смазывание,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поддержание чистоты деталей и продление срока службы современных дизельных и бензиновых двигателей, работающих в тяжелых условиях. Масло рекомендуется для двигателей европейских, японских и американских производителей. Разработано с применением смеси базов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 масел, произведенных при помощи передовой технологии, и сбалансированной системы присадок для достижения требуемой окислительной стабильности, диспергирующих и противоизносных свойств, которые дополняются способностью снижать образование отложений на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ршнях и уменьшать шламообразование, способствуя увеличению срока службы двигателя. Температурные характеристики обеспечивают его надежные пусковые свойства и прокачиваемость при низкой температуре.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для автомобилей, которым приходится работать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тяжелых условиях, грузовиков, спецтехники, задействованной в строительной, горной и сельскохозяйственной отрасли.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4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188</w:t>
            </w:r>
          </w:p>
        </w:tc>
      </w:tr>
      <w:tr w:rsidR="00E018FC">
        <w:trPr>
          <w:trHeight w:val="518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Кинематическая вязкость при 40°C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84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8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Кинематическая вязкость при 100°C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14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6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Зольность сульфатная %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1,1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1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Содержание фосфора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0,0095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Плотность при 15°C, кг/л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0,855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Температура вспышки,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222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Температура застывания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-39°C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18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17479.1-2015 «Масла моторные. Классификация и обозначение»,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Техническому регламенту таможенного союза ТР ТС 030/2012 «О требованиях к смазочным материалам, маслам и специальным жидкостям», ГОСТ 8581-20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 «Масла моторные для автотракторных дизелей. Технические условия», ГОСТ 12337-2020 «Масла моторные для дизельных двигателей. Технические условия», ГОСТ Р 56461-2015 «Безопасность транспортная. Общие требования».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степени воздействия на организм человек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масла относятся к 4-му классу опасности по ГОСТ 12.1.007-76 с предельно допустимой концентрацией паров углеводородов в воздухе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151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Масла трансм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иссионные</w:t>
            </w:r>
          </w:p>
        </w:tc>
      </w:tr>
      <w:tr w:rsidR="00E018FC">
        <w:trPr>
          <w:trHeight w:val="536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товара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 одной тары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литрах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кол-во в литрах</w:t>
            </w:r>
          </w:p>
        </w:tc>
      </w:tr>
      <w:tr w:rsidR="00E018FC">
        <w:trPr>
          <w:trHeight w:val="536"/>
        </w:trPr>
        <w:tc>
          <w:tcPr>
            <w:tcW w:w="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трансмиссионное «ТАД-17И» или эквивалент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Смазочные масла, применяемые для смазки коробок передач, раздаточных коробок, главных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передач ведущих мостов, рулевых механизмов, а также зубчатых и цепных передач (редукторов) всех видов. В смазке для трансмиссии не содержатся вредные добавки и компоненты. Термоустойчивое, позволяющее уменьшать звуки и шумы, возникающие при работе трансмис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сии, предохраняет механизмы системы от коррозийного воздействия.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Используются для защиты механизмов и деталей путем создания прочной и тонкой пленки на трущихся поверхностях.</w:t>
            </w:r>
          </w:p>
        </w:tc>
        <w:tc>
          <w:tcPr>
            <w:tcW w:w="13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10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Вязкость кинематическая при 100°С, мм²2/с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31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Температура вспышки в открытом тигле,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218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39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-25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Плотность при 20°С, кг/м³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902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Индекс задира (Из) при 20°С на ЧШМ, H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568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Нагрузка сваривания (Pс)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 20°С на ЧШМ, Н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4136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23652-79 «Масла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трансмиссионные. Технические условия», Техническому регламенту таможенного союза ТР ТС 030/2012 «О требованиях к смазочным материалам, маслам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специальным жидкостям»,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трансмиссионное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ROLF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UTT</w:t>
            </w:r>
            <w:r>
              <w:rPr>
                <w:rFonts w:ascii="Times New Roman" w:hAnsi="Times New Roman"/>
                <w:sz w:val="24"/>
                <w:szCs w:val="24"/>
              </w:rPr>
              <w:t>О» 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30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Смазочные масла, применяемые для смазки коробок передач, раздаточных коробок,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главных передач ведущих мостов, рулевых механизмов, а также зубчатых и цепных передач (редукторов) всех видов. В смазке для трансмиссии не содержатся вредные добавки и компоненты. Термоустойчивое, позволяющее уменьшать звуки и шумы, возникающие при работе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трансмиссии, предохраняет механизмы системы от коррозийного воздействия.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Используются для защиты механизмов и деталей путем создания прочной и тонкой пленки на трущихся поверхностях.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9"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вязкост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9"/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W30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Состав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полусинтетическое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Тип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трансмиссионно-гидравлическое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Классификация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API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менее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GL-4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Плотность при 15°С, г/см3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0,870 до 0,877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Температура вспышки в открытом тигле,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210 до 230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-35 до -39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23652-79 «Масла трансмиссионные. Технические условия», Техническому регламенту таможенного союза ТР ТС 030/2012 «О требованиях к смазочным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материалам, маслам и специальным жидкостям», ГОСТ Р 56461-2015 «Безопасность транспортная. Общие требования». По степени воздействия на организм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человека масла относятся к 4-му классу опасности по ГОСТ 12.1.007-76 с предельно допустимой концентрацией паров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углеводородов в воздухе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трансмиссионное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ZI</w:t>
            </w:r>
            <w:r>
              <w:rPr>
                <w:rFonts w:ascii="Times New Roman" w:hAnsi="Times New Roman"/>
                <w:sz w:val="24"/>
                <w:szCs w:val="24"/>
              </w:rPr>
              <w:t>С» 75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90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Смазочные масла, применяемые для смазки коробок передач,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раздаточных коробок, главных передач ведущих мостов, рулевых механизмов, а также зубчатых и цепных передач (редукторов) всех видов. В смазке для трансмиссии не содержатся вредные добавки и компоненты. Термоустойчивое, позволяющее уменьшать звуки и шумы, 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зникающие при работе трансмиссии, предохраняет механизмы системы от коррозийного воздействия.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</w:tr>
      <w:tr w:rsidR="00E018FC">
        <w:trPr>
          <w:trHeight w:val="32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Класс вязкости по SAE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75W-90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Плотность при 15°C, г/см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0,86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3.Кинематическая вязкость при 40°C,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74,8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4.Кинематическая вязкость при 100°C,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14,1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97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197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2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6.Температура потери текучести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-47,5°C до -50,5°С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7.Температура вспышки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212°C до 230°С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8.Кислотное число, мг КОН/г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менее 1,48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Коррозионное воздействие на медь при 121°С 3 ч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23652-79 «Масла трансмиссионные. Технические условия», Техническому регламенту таможенного союза ТР ТС 030/2012 «О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требованиях к смазочным материалам, маслам и специальным жидкостям»,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имой концентрацией паров углеводородов в воздухе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Масло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трансмиссионное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ZIC</w:t>
            </w:r>
            <w:r>
              <w:rPr>
                <w:rFonts w:ascii="Times New Roman" w:hAnsi="Times New Roman"/>
                <w:sz w:val="24"/>
                <w:szCs w:val="24"/>
              </w:rPr>
              <w:t>”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DEXRON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>)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Смазочные масла, применяемые 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смазки коробок передач, раздаточных коробок, главных передач ведущих мостов, рулевых механизмов, а также зубчатых и цепных передач (редукторов) всех видов. В смазке для трансмиссии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содержатся вредные добавки и компоненты. Термоустойчивое, позволяющее ум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еньшать звуки и шумы, возникающие при работе трансмиссии, предохраняет механизмы системы от коррозийного воздействия.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литры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E018FC">
        <w:trPr>
          <w:trHeight w:val="24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1.Плотность при 15°C, г/см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0,85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Кинематическая вязкость при 40°C,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36,9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41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3.Кинематическая вязкость при 100°C,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7,3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81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168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1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5.Температура потери текучести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-47,5°C до -50,5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6.Температура вспышки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226°C до 242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6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7.Кислотное число, мг КОН/г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0,90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8.Коррозионное воздействие на медь при 150°С 3 ч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1-b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23652-79 «Масла трансмиссионные. Технические условия», Техническому регламенту таможенного союза ТР ТС 030/2012 «О требованиях к смазочным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материалам, маслам и специальным жидкостям»,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углеводородов в воздухе рабочей зоны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1519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Масла гидравлические</w:t>
            </w:r>
          </w:p>
        </w:tc>
      </w:tr>
      <w:tr w:rsidR="00E018FC">
        <w:trPr>
          <w:trHeight w:val="536"/>
        </w:trPr>
        <w:tc>
          <w:tcPr>
            <w:tcW w:w="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4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товара</w:t>
            </w:r>
          </w:p>
        </w:tc>
        <w:tc>
          <w:tcPr>
            <w:tcW w:w="1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 одной тары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литрах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кол-во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литрах</w:t>
            </w:r>
          </w:p>
        </w:tc>
      </w:tr>
      <w:tr w:rsidR="00E018FC">
        <w:trPr>
          <w:trHeight w:val="379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гидравлическое  «SINTEC»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Гидравлическое всесезонное масло на основе высококачественного маловязкого базового масла с композицией присадок, обеспечивающих необходимые противоизносные, антиокислительные и антипенные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характеристики. Позволяет эксплуатировать машины и механизмы в районах крайнего севера, обеспечивает холодный запуск гидропривода при низких температурах без предварительного разогрева.</w:t>
            </w:r>
          </w:p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в гидроприводах и гидравлических системах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дорожно-строительной, общестроительной, лесозаготовительной, подъемной и другой техники, а также в машинах с гидравлическими приводами, в промышленном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оборудовании в суровых климатических условиях в районах Севера, Сибири и Дальнего Востока, а также в каче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стве зимнего сорта гидравлического масла в зонах с умеренными климатическими условиями. Диапазон рабочих температур -40°С  +50°С.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1 до 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E018FC">
        <w:trPr>
          <w:trHeight w:val="379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Плотность при 20°С, г/см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более 0,8606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143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120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Кинематическая вязкость при 50°С,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10,92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Кинематическая вязкость при -30°С,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2770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Температура вспышки в открытом тигле,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191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85"/>
        </w:trPr>
        <w:tc>
          <w:tcPr>
            <w:tcW w:w="638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Температура застывания, °С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– 40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36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соответствует требованиям ГОСТ 17479.3-85 «Межгосударственный стандарт. Масла гидравлические. Классификация и обозначение», Техническому регламенту таможенного союза ТР ТС 030/2012 «О требованиях к смазочным материалам, маслам и специальным 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дкостям»,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 300 мг/м3 и к 3-му классу опасности с предельно допустимой концентрацией масляного тумана 5 мг/м3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9"/>
        </w:trPr>
        <w:tc>
          <w:tcPr>
            <w:tcW w:w="638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Масло гидравлическое «Kixx Hydro GS HVZ 32» или эквивалент</w:t>
            </w: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Гидравлическое масло премиум-класса, устойчивое к сдвигу, с универсальными вязкостными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характеристиками, содержащее пакет противоизносных присадок. Предназначено для применения в гидравлических системах, работающих в широком диапазоне климатических условий. Эффективно при любых рабочих температурах. Промышленное гидравлическое оборудование,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работающее в широком диапазоне температур, гидравлические системы переносного, строительного и сельскохозяйственного оборудования, гидравлические системы с лопастными, шестеренчатыми или поршневыми насосами, вилочные погрузчики (в том числе, в зонах холо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дильных установок), оборудование для производства пластмассы, палубное оборудование морских судов, шестерни рулевого управления, носовые подруливающие устройства и системы автоматического управление.</w:t>
            </w:r>
          </w:p>
        </w:tc>
        <w:tc>
          <w:tcPr>
            <w:tcW w:w="13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201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 до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24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E018FC">
        <w:trPr>
          <w:trHeight w:val="342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Класс по стандарту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32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5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Температура вспышки,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218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Температура потери текучести,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-45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5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Вязкость,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 при 40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34,1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4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Вязкость,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 при 100 °C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6,6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53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02" w:type="dxa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Индекс вязкости</w:t>
            </w:r>
          </w:p>
        </w:tc>
        <w:tc>
          <w:tcPr>
            <w:tcW w:w="44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152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69"/>
        </w:trPr>
        <w:tc>
          <w:tcPr>
            <w:tcW w:w="6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0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безопасность соответствует требованиям ГОСТ 17479.3-85 «Межгосударственный стандарт. Масла гидравлические. Классификация и обозначение», Техническому регламенту таможенного союза ТР ТС 030/2012 «О требованиях к смазочным материалам, маслам и специальным жи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дкостям», ГОСТ Р 56461-2015 «Безопасность транспортная. Общие требования». По степени воздействия на организм человека масла относятся к 4-му классу опасности по ГОСТ 12.1.007-76 с предельно допустимой концентрацией паров углеводородов в воздухе рабочей 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 300 мг/м3 и к 3-му классу опасности с предельно допустимой концентрацией масляного тумана 5 мг/м3.</w:t>
            </w:r>
          </w:p>
        </w:tc>
        <w:tc>
          <w:tcPr>
            <w:tcW w:w="13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18FC" w:rsidRDefault="0026244D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Смазки</w:t>
      </w:r>
    </w:p>
    <w:tbl>
      <w:tblPr>
        <w:tblW w:w="15167" w:type="dxa"/>
        <w:tblInd w:w="422" w:type="dxa"/>
        <w:tblLayout w:type="fixed"/>
        <w:tblLook w:val="04A0" w:firstRow="1" w:lastRow="0" w:firstColumn="1" w:lastColumn="0" w:noHBand="0" w:noVBand="1"/>
      </w:tblPr>
      <w:tblGrid>
        <w:gridCol w:w="428"/>
        <w:gridCol w:w="1740"/>
        <w:gridCol w:w="3685"/>
        <w:gridCol w:w="5386"/>
        <w:gridCol w:w="1362"/>
        <w:gridCol w:w="1380"/>
        <w:gridCol w:w="1186"/>
      </w:tblGrid>
      <w:tr w:rsidR="00E018FC">
        <w:trPr>
          <w:trHeight w:val="510"/>
        </w:trPr>
        <w:tc>
          <w:tcPr>
            <w:tcW w:w="151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Смазки</w:t>
            </w:r>
          </w:p>
        </w:tc>
      </w:tr>
      <w:tr w:rsidR="00E018FC">
        <w:trPr>
          <w:trHeight w:val="586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товара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Вместимость одной тары</w:t>
            </w:r>
          </w:p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килограммах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Общее кол-во в килограммах</w:t>
            </w:r>
          </w:p>
        </w:tc>
      </w:tr>
      <w:tr w:rsidR="00E018FC">
        <w:trPr>
          <w:trHeight w:val="4105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40" w:type="dxa"/>
            <w:vMerge w:val="restart"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8FC" w:rsidRDefault="0026244D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Смазка литиевая</w:t>
            </w:r>
          </w:p>
          <w:p w:rsidR="00E018FC" w:rsidRDefault="0026244D">
            <w:pPr>
              <w:widowControl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XHP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222» или эквивалент</w:t>
            </w:r>
          </w:p>
        </w:tc>
        <w:tc>
          <w:tcPr>
            <w:tcW w:w="90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34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Пластичная смазка. В основе смазки лежит литиевый комплекс, дополненный высококачественными присадками, относится к высокотемпературным смазкам с длительным сроком службы и повышенным запасом прочности.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Комплекс присадок, заде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йствованных при изготовлении придает высокую окислительную стабильность, защиту от ржавления и коррозии, стойкость к воздействию воды, противоизносные и противозадирные свойства, не разбрызгивается, не стекает, не поддается влиянию центробежной силы, может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применяться в самых жестких условиях.</w:t>
            </w:r>
          </w:p>
          <w:p w:rsidR="00E018FC" w:rsidRDefault="0026244D">
            <w:pPr>
              <w:pStyle w:val="af"/>
              <w:widowControl w:val="0"/>
              <w:spacing w:after="0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Применение: В автомобилях для обработки подшипников и внутренних трипоидов (ШРУС). В коммерческом, грузовом транспорте и внедорожной специализированной технике используется для смазывания ступичных подшипников,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подшипников колес, шасси, прицепов и других целей, в промышленности, в различном оборудовании, в морской технике, в сельскохозяйственной и т.п.</w:t>
            </w:r>
          </w:p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Обеспечивает высокую степень защиты от воды и пыли, высоких температур.</w:t>
            </w:r>
          </w:p>
        </w:tc>
        <w:tc>
          <w:tcPr>
            <w:tcW w:w="136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  <w:tc>
          <w:tcPr>
            <w:tcW w:w="138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18</w:t>
            </w:r>
          </w:p>
        </w:tc>
        <w:tc>
          <w:tcPr>
            <w:tcW w:w="118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tr w:rsidR="00E018FC">
        <w:trPr>
          <w:trHeight w:val="537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Тип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загустителя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Литиевый комплекс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9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Цвет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Темно- синий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86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Число пенетрации перемешанной смазки при 25°C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280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257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Температура каплепадения, °C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выше 280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86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Вязкость масла при 40°C, 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ниже 220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228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Нагрузка сваривания,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8FC" w:rsidRDefault="0026244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315</w:t>
            </w:r>
          </w:p>
        </w:tc>
        <w:tc>
          <w:tcPr>
            <w:tcW w:w="1362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86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00000A"/>
              <w:right w:val="single" w:sz="4" w:space="0" w:color="000000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00000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 и безопасность соответствует требованиям ГОСТ 23258-78 «Межгосударственный стандарт. Смазки пластичные. Наименование и обозначение», Техническому регламенту Таможенного Союза ТР ТС 030/2012 «О требованиях к смазочным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материалам, маслам и специальным жидкостям», ГОСТ Р 56461-2015 «Безопасность транспортная. Общие требования».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</w:pPr>
          </w:p>
        </w:tc>
      </w:tr>
      <w:tr w:rsidR="00E018FC">
        <w:trPr>
          <w:trHeight w:val="586"/>
        </w:trPr>
        <w:tc>
          <w:tcPr>
            <w:tcW w:w="427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26244D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0" w:type="dxa"/>
            <w:vMerge w:val="restart"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Смазка универсальная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-40» или эквивалент</w:t>
            </w:r>
          </w:p>
        </w:tc>
        <w:tc>
          <w:tcPr>
            <w:tcW w:w="907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Аэрозольное универсальное средство, обладающее смазывающими, антикоррозионными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водоотталкивающими свойствами, предназначено для обработки и смазки разных видов поверхностей.</w:t>
            </w:r>
          </w:p>
        </w:tc>
        <w:tc>
          <w:tcPr>
            <w:tcW w:w="1362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килограмм</w:t>
            </w:r>
          </w:p>
        </w:tc>
        <w:tc>
          <w:tcPr>
            <w:tcW w:w="1380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0,1 до 0,4</w:t>
            </w:r>
          </w:p>
        </w:tc>
        <w:tc>
          <w:tcPr>
            <w:tcW w:w="1186" w:type="dxa"/>
            <w:vMerge w:val="restar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E018FC">
        <w:trPr>
          <w:trHeight w:val="379"/>
        </w:trPr>
        <w:tc>
          <w:tcPr>
            <w:tcW w:w="4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/>
              <w:jc w:val="center"/>
            </w:pPr>
          </w:p>
        </w:tc>
        <w:tc>
          <w:tcPr>
            <w:tcW w:w="3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Уайт-спирита, %</w:t>
            </w:r>
          </w:p>
        </w:tc>
        <w:tc>
          <w:tcPr>
            <w:tcW w:w="53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86"/>
        </w:trPr>
        <w:tc>
          <w:tcPr>
            <w:tcW w:w="4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/>
              <w:jc w:val="center"/>
            </w:pPr>
          </w:p>
        </w:tc>
        <w:tc>
          <w:tcPr>
            <w:tcW w:w="3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Двуокиси углерода, %</w:t>
            </w:r>
          </w:p>
        </w:tc>
        <w:tc>
          <w:tcPr>
            <w:tcW w:w="53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278"/>
        </w:trPr>
        <w:tc>
          <w:tcPr>
            <w:tcW w:w="4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/>
              <w:jc w:val="center"/>
            </w:pPr>
          </w:p>
        </w:tc>
        <w:tc>
          <w:tcPr>
            <w:tcW w:w="3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Минерального масла, %</w:t>
            </w:r>
          </w:p>
        </w:tc>
        <w:tc>
          <w:tcPr>
            <w:tcW w:w="53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382"/>
        </w:trPr>
        <w:tc>
          <w:tcPr>
            <w:tcW w:w="4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/>
              <w:jc w:val="center"/>
            </w:pPr>
          </w:p>
        </w:tc>
        <w:tc>
          <w:tcPr>
            <w:tcW w:w="36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углеводородов-алканов, %</w:t>
            </w:r>
          </w:p>
        </w:tc>
        <w:tc>
          <w:tcPr>
            <w:tcW w:w="53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18FC">
        <w:trPr>
          <w:trHeight w:val="586"/>
        </w:trPr>
        <w:tc>
          <w:tcPr>
            <w:tcW w:w="42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18FC" w:rsidRDefault="00E018FC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A"/>
              <w:bottom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0"/>
              <w:jc w:val="center"/>
            </w:pPr>
          </w:p>
        </w:tc>
        <w:tc>
          <w:tcPr>
            <w:tcW w:w="9071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26244D">
            <w:pPr>
              <w:pStyle w:val="af"/>
              <w:widowControl w:val="0"/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и безопасность соответствует требованиям ГОСТ 23258-78 «Межгосударственный стандарт. Смазки пластичные. Наименование и обозначение», Техническому регламенту Таможенного Союза ТР ТС 030/2012 «О требованиях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смазочным материалам, маслам и специальным жидкостям», ГОСТ Р 56461-2015 «Безопасность транспортная. Общие требования»</w:t>
            </w:r>
          </w:p>
        </w:tc>
        <w:tc>
          <w:tcPr>
            <w:tcW w:w="136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018FC" w:rsidRDefault="00E018FC">
            <w:pPr>
              <w:widowControl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018FC" w:rsidRDefault="00E018FC">
      <w:pPr>
        <w:widowControl w:val="0"/>
        <w:spacing w:after="0" w:line="252" w:lineRule="auto"/>
        <w:ind w:left="709"/>
        <w:jc w:val="both"/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</w:pPr>
    </w:p>
    <w:p w:rsidR="00E018FC" w:rsidRDefault="0026244D">
      <w:pPr>
        <w:widowControl w:val="0"/>
        <w:spacing w:after="0" w:line="252" w:lineRule="auto"/>
        <w:ind w:left="426" w:firstLine="567"/>
        <w:jc w:val="both"/>
        <w:rPr>
          <w:rFonts w:ascii="Times New Roman" w:hAnsi="Times New Roman"/>
          <w:sz w:val="24"/>
          <w:szCs w:val="28"/>
          <w:lang w:bidi="hi-IN"/>
        </w:rPr>
      </w:pPr>
      <w:r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  <w:t>1.3. Требования к качеству, безопасности Товара</w:t>
      </w:r>
    </w:p>
    <w:p w:rsidR="00E018FC" w:rsidRDefault="0026244D">
      <w:pPr>
        <w:shd w:val="clear" w:color="auto" w:fill="FFFFFF"/>
        <w:tabs>
          <w:tab w:val="left" w:pos="-5245"/>
        </w:tabs>
        <w:spacing w:after="0" w:line="240" w:lineRule="auto"/>
        <w:ind w:left="426"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Качество и безопасность поставляемого Товара соответствует ГОСТам и ТР, указанным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в п. 1.2 Технического задания. Качество поставляемого товара подтверждается наличием сертификатов соответствия (паспортов качества).</w:t>
      </w:r>
    </w:p>
    <w:p w:rsidR="00E018FC" w:rsidRDefault="0026244D">
      <w:pPr>
        <w:tabs>
          <w:tab w:val="left" w:pos="-5245"/>
        </w:tabs>
        <w:spacing w:after="0"/>
        <w:ind w:left="42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Поставляемый Товар новый, ранее не бывшим в эксплуатации, не имеет дефектов, связанных с поставкой, материалами или работо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Дата изготовления Товара не ранее 2023 года.</w:t>
      </w:r>
    </w:p>
    <w:p w:rsidR="00E018FC" w:rsidRDefault="00E018FC">
      <w:pPr>
        <w:widowControl w:val="0"/>
        <w:numPr>
          <w:ilvl w:val="1"/>
          <w:numId w:val="1"/>
        </w:numPr>
        <w:tabs>
          <w:tab w:val="left" w:pos="-5245"/>
        </w:tabs>
        <w:spacing w:after="0" w:line="252" w:lineRule="auto"/>
        <w:ind w:left="426" w:firstLine="567"/>
        <w:jc w:val="both"/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</w:pPr>
    </w:p>
    <w:p w:rsidR="00E018FC" w:rsidRDefault="0026244D">
      <w:pPr>
        <w:widowControl w:val="0"/>
        <w:numPr>
          <w:ilvl w:val="1"/>
          <w:numId w:val="1"/>
        </w:numPr>
        <w:tabs>
          <w:tab w:val="left" w:pos="-5245"/>
        </w:tabs>
        <w:spacing w:after="0" w:line="252" w:lineRule="auto"/>
        <w:ind w:left="426" w:firstLine="567"/>
        <w:jc w:val="both"/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</w:pPr>
      <w:r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  <w:t>1.4. Треб</w:t>
      </w:r>
      <w:r>
        <w:rPr>
          <w:rFonts w:ascii="Times New Roman" w:eastAsia="DejaVu Sans" w:hAnsi="Times New Roman" w:cs="DejaVu Sans"/>
          <w:b/>
          <w:iCs/>
          <w:sz w:val="24"/>
          <w:szCs w:val="28"/>
          <w:lang w:eastAsia="zh-CN" w:bidi="hi-IN"/>
        </w:rPr>
        <w:t>ования к упаковке, отгрузке Товара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hAnsi="Times New Roman" w:cs="DejaVu Sans"/>
          <w:sz w:val="24"/>
          <w:szCs w:val="24"/>
          <w:lang w:bidi="hi-IN"/>
        </w:rPr>
        <w:t>Упаковка товара обеспечивает сохранность Товара при хранении, транспортировке и погрузо-разгрузочных работах</w:t>
      </w:r>
      <w:r>
        <w:rPr>
          <w:rFonts w:ascii="Times New Roman" w:eastAsia="DejaVu Sans" w:hAnsi="Times New Roman" w:cs="DejaVu Sans"/>
          <w:sz w:val="24"/>
          <w:szCs w:val="24"/>
          <w:lang w:bidi="hi-IN"/>
        </w:rPr>
        <w:t xml:space="preserve"> к конечному месту эксплуатации согласно ТР ТС 005/2011. Отгрузка товара осуществляется за счёт Поставщика.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eastAsia="DejaVu Sans" w:hAnsi="Times New Roman" w:cs="DejaVu Sans"/>
          <w:sz w:val="24"/>
          <w:szCs w:val="24"/>
          <w:lang w:bidi="hi-IN"/>
        </w:rPr>
      </w:pPr>
      <w:r>
        <w:rPr>
          <w:rFonts w:ascii="Times New Roman" w:eastAsia="DejaVu Sans" w:hAnsi="Times New Roman" w:cs="DejaVu Sans"/>
          <w:sz w:val="24"/>
          <w:szCs w:val="24"/>
          <w:lang w:bidi="hi-IN"/>
        </w:rPr>
        <w:t>Охлаждающие жидкости, расфасованные в тару, при транспортировании упаковывают в деревянные ящики по ГОСТ 18573-86. В каждый ящик упаковывают охлаждающие жидкости одного вида и в одинаковой упаковке. Упаковку, маркировку, хранение и транспортирование смазки</w:t>
      </w:r>
      <w:r>
        <w:rPr>
          <w:rFonts w:ascii="Times New Roman" w:eastAsia="DejaVu Sans" w:hAnsi="Times New Roman" w:cs="DejaVu Sans"/>
          <w:sz w:val="24"/>
          <w:szCs w:val="24"/>
          <w:lang w:bidi="hi-IN"/>
        </w:rPr>
        <w:t xml:space="preserve"> производить по ГОСТ 1510-2022 «Нефть и нефтепродукты. Маркировка, упаковка, транспортирование и хранение».</w:t>
      </w:r>
    </w:p>
    <w:p w:rsidR="00E018FC" w:rsidRDefault="0026244D">
      <w:pPr>
        <w:widowControl w:val="0"/>
        <w:spacing w:after="0"/>
        <w:ind w:left="426" w:right="49" w:firstLine="567"/>
        <w:jc w:val="both"/>
      </w:pPr>
      <w:r>
        <w:rPr>
          <w:rFonts w:ascii="Times New Roman" w:eastAsia="DejaVu Sans" w:hAnsi="Times New Roman" w:cs="DejaVu Sans"/>
          <w:color w:val="000000"/>
          <w:sz w:val="24"/>
          <w:szCs w:val="24"/>
          <w:lang w:eastAsia="ru-RU" w:bidi="hi-IN"/>
        </w:rPr>
        <w:t xml:space="preserve">Условия производства, упаковывания, транспортирования и хранения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hi-IN"/>
        </w:rPr>
        <w:t xml:space="preserve">двигателя </w:t>
      </w:r>
      <w:r>
        <w:rPr>
          <w:rFonts w:ascii="Times New Roman" w:eastAsia="DejaVu Sans" w:hAnsi="Times New Roman" w:cs="DejaVu Sans"/>
          <w:color w:val="000000"/>
          <w:sz w:val="24"/>
          <w:szCs w:val="24"/>
          <w:lang w:eastAsia="ru-RU" w:bidi="hi-IN"/>
        </w:rPr>
        <w:t>не оказывают вредного воздействия на человека.</w:t>
      </w:r>
    </w:p>
    <w:p w:rsidR="00E018FC" w:rsidRDefault="0026244D">
      <w:pPr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Маркировка опасных грузов </w:t>
      </w:r>
      <w:r>
        <w:rPr>
          <w:rFonts w:ascii="Times New Roman" w:hAnsi="Times New Roman" w:cs="Times New Roman"/>
          <w:sz w:val="24"/>
          <w:szCs w:val="24"/>
        </w:rPr>
        <w:t>(масел) соответствует требованиям ГОСТ 19433-88, предупредительная маркировка химической продукции соответствует требованиям ГОСТ 31340-2013. Маркировка российского производства соответствует требованиям ГОСТ 1510-2022 «Нефть и нефтепродукты. Маркировка, у</w:t>
      </w:r>
      <w:r>
        <w:rPr>
          <w:rFonts w:ascii="Times New Roman" w:hAnsi="Times New Roman" w:cs="Times New Roman"/>
          <w:sz w:val="24"/>
          <w:szCs w:val="24"/>
        </w:rPr>
        <w:t>паковка, транспортирование и хранение».. На таре масел импортного производства маркировка зарубежного обозначения с указанием страны производителя. Маркировка в соответствии с Директивой Евросообщества (ЕС). Примечание: в случае поставки импортных масел, в</w:t>
      </w:r>
      <w:r>
        <w:rPr>
          <w:rFonts w:ascii="Times New Roman" w:hAnsi="Times New Roman" w:cs="Times New Roman"/>
          <w:sz w:val="24"/>
          <w:szCs w:val="24"/>
        </w:rPr>
        <w:t xml:space="preserve">се данные, нахождение, которых необходимо на заводской этикетке (маркировка тары), должны быть отражены в сертификате или декларации соответствия. </w:t>
      </w:r>
    </w:p>
    <w:p w:rsidR="00E018FC" w:rsidRDefault="00E018FC">
      <w:pPr>
        <w:spacing w:after="0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18FC" w:rsidRDefault="0026244D">
      <w:pPr>
        <w:widowControl w:val="0"/>
        <w:numPr>
          <w:ilvl w:val="0"/>
          <w:numId w:val="1"/>
        </w:numPr>
        <w:tabs>
          <w:tab w:val="left" w:pos="-5245"/>
        </w:tabs>
        <w:spacing w:after="0" w:line="252" w:lineRule="auto"/>
        <w:ind w:left="426" w:firstLine="567"/>
        <w:jc w:val="both"/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  <w:t>2 Требования к гарантийному сроку и объёму предоставления гарантий качества Товара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 xml:space="preserve">2.1. Поставляемый Товар 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обеспечивается гарантийными обязательствами Поставщика.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2.2. Гарантийный срок эксплуатации Товара устанавливается с даты приемки товара и составляет не менее 12 (двенадцати) месяцев.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2.3. В случае если в течение гарантийного периода эксплуатации Заказчик о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 xml:space="preserve">бнаружит скрытые недостатки Товара, он обязан в течение 5 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lastRenderedPageBreak/>
        <w:t xml:space="preserve">рабочих дней с момента обнаружения письменно уведомить об этом Поставщика. 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2.4. Представитель Поставщика в течение 10 рабочих дней с момента получения уведомления Заказчика вправе выехать на объект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, где осуществляется эксплуатация Товара, для выяснения причин неисправности, составления акта о скрытых недостатках и принятия соответствующего решения. В случае выезда представителя Поставщика на объект, представитель Заказчика обязан обеспечить доступ п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редставителю Поставщика к Товару.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eastAsia="DejaVu Sans" w:hAnsi="Times New Roman" w:cs="DejaVu Sans"/>
          <w:bCs/>
          <w:color w:val="000000"/>
          <w:spacing w:val="1"/>
          <w:sz w:val="24"/>
          <w:szCs w:val="24"/>
          <w:lang w:eastAsia="zh-CN" w:bidi="hi-IN"/>
        </w:rPr>
        <w:t>2.5.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ab/>
        <w:t xml:space="preserve"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течение 7 рабочих дней с момента получения уведомления Заказчика приравнивается к признанию претензии обоснованной.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eastAsia="DejaVu Sans" w:hAnsi="Times New Roman" w:cs="DejaVu Sans"/>
          <w:bCs/>
          <w:color w:val="000000"/>
          <w:spacing w:val="1"/>
          <w:sz w:val="24"/>
          <w:szCs w:val="24"/>
          <w:lang w:eastAsia="zh-CN" w:bidi="hi-IN"/>
        </w:rPr>
        <w:t>2.6.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ab/>
        <w:t>В случае признания претензии обоснованной, Поставщик обязан в тридцатидневный срок удовлетворить претензию Заказчика в части замены Тов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ара или возврата денежных средств.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eastAsia="DejaVu Sans" w:hAnsi="Times New Roman" w:cs="DejaVu Sans"/>
          <w:bCs/>
          <w:color w:val="000000"/>
          <w:spacing w:val="1"/>
          <w:sz w:val="24"/>
          <w:szCs w:val="24"/>
          <w:lang w:eastAsia="zh-CN" w:bidi="hi-IN"/>
        </w:rPr>
        <w:t>2.7.</w:t>
      </w: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ab/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E018FC" w:rsidRDefault="00E018FC">
      <w:pPr>
        <w:widowControl w:val="0"/>
        <w:numPr>
          <w:ilvl w:val="0"/>
          <w:numId w:val="1"/>
        </w:numPr>
        <w:tabs>
          <w:tab w:val="left" w:pos="-5245"/>
          <w:tab w:val="left" w:pos="-5103"/>
        </w:tabs>
        <w:spacing w:after="0" w:line="252" w:lineRule="auto"/>
        <w:ind w:left="567" w:firstLine="567"/>
        <w:jc w:val="both"/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</w:pPr>
    </w:p>
    <w:p w:rsidR="00E018FC" w:rsidRDefault="0026244D">
      <w:pPr>
        <w:widowControl w:val="0"/>
        <w:tabs>
          <w:tab w:val="left" w:pos="-5245"/>
          <w:tab w:val="left" w:pos="-5103"/>
        </w:tabs>
        <w:spacing w:after="0" w:line="252" w:lineRule="auto"/>
        <w:ind w:left="567"/>
        <w:jc w:val="both"/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  <w:t xml:space="preserve">       3. Место, условия и сроки (периоды) поставки </w:t>
      </w:r>
      <w:r>
        <w:rPr>
          <w:rFonts w:ascii="Times New Roman" w:eastAsia="DejaVu Sans" w:hAnsi="Times New Roman" w:cs="DejaVu Sans"/>
          <w:b/>
          <w:iCs/>
          <w:sz w:val="24"/>
          <w:szCs w:val="24"/>
          <w:lang w:eastAsia="zh-CN" w:bidi="hi-IN"/>
        </w:rPr>
        <w:t>Товара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eastAsia="DejaVu Sans" w:hAnsi="Times New Roman" w:cs="DejaVu Sans"/>
          <w:color w:val="000000"/>
          <w:sz w:val="24"/>
          <w:szCs w:val="24"/>
          <w:lang w:eastAsia="zh-CN" w:bidi="hi-IN"/>
        </w:rPr>
        <w:t xml:space="preserve">3.1. </w:t>
      </w:r>
      <w:r>
        <w:rPr>
          <w:rFonts w:ascii="Times New Roman" w:hAnsi="Times New Roman" w:cs="DejaVu Sans"/>
          <w:sz w:val="24"/>
          <w:szCs w:val="24"/>
          <w:lang w:bidi="hi-IN"/>
        </w:rPr>
        <w:t>Товар Заказчику поставляется транспортными средствами Поставщика или иными привлеченными Поставщиком третьими лицами, за счет Поставщика по адресу: Ханты-Мансийский автономный округ-Югра, г. Ханты-Мансийск, ул. Чехова, 81.</w:t>
      </w:r>
    </w:p>
    <w:p w:rsidR="00E018FC" w:rsidRDefault="0026244D">
      <w:pPr>
        <w:widowControl w:val="0"/>
        <w:spacing w:after="0"/>
        <w:ind w:left="426" w:firstLine="567"/>
        <w:jc w:val="both"/>
        <w:rPr>
          <w:rFonts w:ascii="Times New Roman" w:hAnsi="Times New Roman" w:cs="DejaVu Sans"/>
          <w:sz w:val="24"/>
          <w:szCs w:val="24"/>
          <w:lang w:bidi="hi-IN"/>
        </w:rPr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>3.2.</w:t>
      </w:r>
      <w:r>
        <w:rPr>
          <w:rFonts w:ascii="Times New Roman" w:eastAsia="DejaVu Sans" w:hAnsi="Times New Roman" w:cs="DejaVu Sans"/>
          <w:b/>
          <w:color w:val="000000"/>
          <w:spacing w:val="1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 w:cs="DejaVu Sans"/>
          <w:sz w:val="24"/>
          <w:szCs w:val="24"/>
          <w:lang w:bidi="hi-IN"/>
        </w:rPr>
        <w:t>Поставка Товара,</w:t>
      </w:r>
      <w:r>
        <w:rPr>
          <w:rFonts w:ascii="Times New Roman" w:hAnsi="Times New Roman" w:cs="DejaVu Sans"/>
          <w:sz w:val="24"/>
          <w:szCs w:val="24"/>
          <w:lang w:bidi="hi-IN"/>
        </w:rPr>
        <w:t xml:space="preserve"> перечисленного в настоящем Техническом задании осуществляется отдельными партиями в срок не более 10 (десяти) календарных дней (с правом досрочной поставки), с момента получения заявки от Заказчика любым видом связи, включающей наименование и количество о</w:t>
      </w:r>
      <w:r>
        <w:rPr>
          <w:rFonts w:ascii="Times New Roman" w:hAnsi="Times New Roman" w:cs="DejaVu Sans"/>
          <w:sz w:val="24"/>
          <w:szCs w:val="24"/>
          <w:lang w:bidi="hi-IN"/>
        </w:rPr>
        <w:t>тдельной партии товара.</w:t>
      </w:r>
    </w:p>
    <w:p w:rsidR="00E018FC" w:rsidRDefault="0026244D">
      <w:pPr>
        <w:widowControl w:val="0"/>
        <w:spacing w:after="0"/>
        <w:ind w:left="426" w:firstLine="567"/>
        <w:jc w:val="both"/>
      </w:pPr>
      <w:r>
        <w:rPr>
          <w:rFonts w:ascii="Times New Roman" w:eastAsia="DejaVu Sans" w:hAnsi="Times New Roman" w:cs="DejaVu Sans"/>
          <w:color w:val="000000"/>
          <w:spacing w:val="1"/>
          <w:sz w:val="24"/>
          <w:szCs w:val="24"/>
          <w:lang w:eastAsia="zh-CN" w:bidi="hi-IN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>Количество Товара в каждой партии определяется Заказчиком посредством составления и направления в адрес Поставщика письменной Заявки</w:t>
      </w:r>
      <w:r>
        <w:rPr>
          <w:rFonts w:cs="Times New Roman"/>
          <w:sz w:val="24"/>
          <w:szCs w:val="24"/>
        </w:rPr>
        <w:t>.</w:t>
      </w:r>
    </w:p>
    <w:sectPr w:rsidR="00E018FC">
      <w:pgSz w:w="16838" w:h="11906" w:orient="landscape"/>
      <w:pgMar w:top="709" w:right="536" w:bottom="850" w:left="709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581"/>
    <w:multiLevelType w:val="multilevel"/>
    <w:tmpl w:val="8B606B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ED79A6"/>
    <w:multiLevelType w:val="multilevel"/>
    <w:tmpl w:val="38520AD4"/>
    <w:lvl w:ilvl="0">
      <w:start w:val="1"/>
      <w:numFmt w:val="none"/>
      <w:pStyle w:val="BodyText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E1F1350"/>
    <w:multiLevelType w:val="multilevel"/>
    <w:tmpl w:val="2C18F9FE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05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FC"/>
    <w:rsid w:val="0026244D"/>
    <w:rsid w:val="00E0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ыделение жирным"/>
    <w:basedOn w:val="a0"/>
    <w:qFormat/>
    <w:rPr>
      <w:b/>
      <w:bCs/>
    </w:rPr>
  </w:style>
  <w:style w:type="character" w:styleId="a5">
    <w:name w:val="annotation reference"/>
    <w:basedOn w:val="a0"/>
    <w:uiPriority w:val="99"/>
    <w:semiHidden/>
    <w:unhideWhenUsed/>
    <w:qFormat/>
    <w:rsid w:val="0055339D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55339D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55339D"/>
    <w:rPr>
      <w:b/>
      <w:bCs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BodyText">
    <w:name w:val="Body_Text"/>
    <w:basedOn w:val="a"/>
    <w:qFormat/>
    <w:pPr>
      <w:numPr>
        <w:numId w:val="1"/>
      </w:numPr>
      <w:spacing w:after="0" w:line="264" w:lineRule="auto"/>
      <w:ind w:left="284" w:right="567" w:hanging="284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styleId="ad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qFormat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annotation text"/>
    <w:basedOn w:val="a"/>
    <w:uiPriority w:val="99"/>
    <w:semiHidden/>
    <w:unhideWhenUsed/>
    <w:qFormat/>
    <w:rsid w:val="0055339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5533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4">
    <w:name w:val="Выделение жирным"/>
    <w:basedOn w:val="a0"/>
    <w:qFormat/>
    <w:rPr>
      <w:b/>
      <w:bCs/>
    </w:rPr>
  </w:style>
  <w:style w:type="character" w:styleId="a5">
    <w:name w:val="annotation reference"/>
    <w:basedOn w:val="a0"/>
    <w:uiPriority w:val="99"/>
    <w:semiHidden/>
    <w:unhideWhenUsed/>
    <w:qFormat/>
    <w:rsid w:val="0055339D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55339D"/>
    <w:rPr>
      <w:sz w:val="20"/>
      <w:szCs w:val="20"/>
    </w:rPr>
  </w:style>
  <w:style w:type="character" w:customStyle="1" w:styleId="a7">
    <w:name w:val="Тема примечания Знак"/>
    <w:basedOn w:val="a6"/>
    <w:uiPriority w:val="99"/>
    <w:semiHidden/>
    <w:qFormat/>
    <w:rsid w:val="0055339D"/>
    <w:rPr>
      <w:b/>
      <w:bCs/>
      <w:sz w:val="20"/>
      <w:szCs w:val="20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BodyText">
    <w:name w:val="Body_Text"/>
    <w:basedOn w:val="a"/>
    <w:qFormat/>
    <w:pPr>
      <w:numPr>
        <w:numId w:val="1"/>
      </w:numPr>
      <w:spacing w:after="0" w:line="264" w:lineRule="auto"/>
      <w:ind w:left="284" w:right="567" w:hanging="284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styleId="ad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qFormat/>
    <w:pPr>
      <w:spacing w:before="28" w:after="2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styleId="af2">
    <w:name w:val="annotation text"/>
    <w:basedOn w:val="a"/>
    <w:uiPriority w:val="99"/>
    <w:semiHidden/>
    <w:unhideWhenUsed/>
    <w:qFormat/>
    <w:rsid w:val="0055339D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2"/>
    <w:next w:val="af2"/>
    <w:uiPriority w:val="99"/>
    <w:semiHidden/>
    <w:unhideWhenUsed/>
    <w:qFormat/>
    <w:rsid w:val="005533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DBAA0-6338-4254-95DC-7AE57CF8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6040</Words>
  <Characters>34434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Рогин Евгений Николаевич</dc:creator>
  <cp:lastModifiedBy>Ушакова Юлия Сергеевна</cp:lastModifiedBy>
  <cp:revision>2</cp:revision>
  <cp:lastPrinted>2024-06-06T14:24:00Z</cp:lastPrinted>
  <dcterms:created xsi:type="dcterms:W3CDTF">2024-06-11T03:23:00Z</dcterms:created>
  <dcterms:modified xsi:type="dcterms:W3CDTF">2024-06-11T03:23:00Z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