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671CFE" w:rsidRDefault="004B310E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4B310E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4B310E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B310E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proofErr w:type="spellStart"/>
            <w:r>
              <w:rPr>
                <w:rFonts w:eastAsia="Times New Roman"/>
                <w:b/>
                <w:lang w:eastAsia="zh-CN"/>
              </w:rPr>
              <w:t>Врио</w:t>
            </w:r>
            <w:proofErr w:type="spellEnd"/>
            <w:r>
              <w:rPr>
                <w:rFonts w:eastAsia="Times New Roman"/>
                <w:b/>
                <w:lang w:eastAsia="zh-CN"/>
              </w:rPr>
              <w:t xml:space="preserve"> 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ого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  <w:bookmarkStart w:id="0" w:name="_GoBack"/>
            <w:bookmarkEnd w:id="0"/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B310E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62543F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940B57">
        <w:rPr>
          <w:b/>
        </w:rPr>
        <w:t xml:space="preserve">циркуляционных и центробежных </w:t>
      </w:r>
      <w:r w:rsidR="00940B57" w:rsidRPr="009B79B5">
        <w:rPr>
          <w:b/>
        </w:rPr>
        <w:t>насосов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1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1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940B57" w:rsidRPr="00940B57">
        <w:t>циркуляционных и центробежных насосов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62543F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62543F" w:rsidP="00940B57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</w:t>
            </w:r>
            <w:r w:rsidR="00940B57">
              <w:rPr>
                <w:rFonts w:eastAsia="Times New Roman"/>
                <w:iCs/>
                <w:color w:val="000000"/>
              </w:rPr>
              <w:t xml:space="preserve">СЭКУ и ГО </w:t>
            </w:r>
            <w:proofErr w:type="spellStart"/>
            <w:r w:rsidR="00940B57">
              <w:rPr>
                <w:rFonts w:eastAsia="Times New Roman"/>
                <w:iCs/>
                <w:color w:val="000000"/>
              </w:rPr>
              <w:t>Ерёмов</w:t>
            </w:r>
            <w:proofErr w:type="spellEnd"/>
            <w:r w:rsidR="00940B57">
              <w:rPr>
                <w:rFonts w:eastAsia="Times New Roman"/>
                <w:iCs/>
                <w:color w:val="000000"/>
              </w:rPr>
              <w:t xml:space="preserve"> Сергей Александрович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</w:t>
            </w:r>
            <w:r w:rsidR="00645915">
              <w:rPr>
                <w:bCs/>
              </w:rPr>
              <w:t>2</w:t>
            </w:r>
            <w:r>
              <w:rPr>
                <w:bCs/>
              </w:rPr>
              <w:t>-</w:t>
            </w:r>
            <w:r w:rsidR="00645915">
              <w:rPr>
                <w:bCs/>
              </w:rPr>
              <w:t>814-</w:t>
            </w:r>
            <w:r w:rsidR="00940B57">
              <w:rPr>
                <w:bCs/>
              </w:rPr>
              <w:t>71</w:t>
            </w:r>
            <w:r w:rsidR="00645915">
              <w:rPr>
                <w:bCs/>
              </w:rPr>
              <w:t>-8</w:t>
            </w:r>
            <w:r w:rsidR="00940B57">
              <w:rPr>
                <w:bCs/>
              </w:rPr>
              <w:t>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940B57" w:rsidRPr="00940B57">
              <w:t>циркуляционных и центробежных насосов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4043B8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4043B8" w:rsidRPr="009B79B5" w:rsidRDefault="004043B8" w:rsidP="004043B8">
            <w:pPr>
              <w:widowControl w:val="0"/>
              <w:tabs>
                <w:tab w:val="left" w:pos="1276"/>
              </w:tabs>
              <w:suppressAutoHyphens/>
              <w:ind w:firstLine="709"/>
              <w:rPr>
                <w:b/>
                <w:bCs/>
                <w:color w:val="000000"/>
                <w:kern w:val="1"/>
                <w:lang w:bidi="hi-IN"/>
              </w:rPr>
            </w:pPr>
            <w:r w:rsidRPr="009B79B5">
              <w:rPr>
                <w:b/>
                <w:bCs/>
                <w:color w:val="000000"/>
                <w:kern w:val="1"/>
                <w:lang w:bidi="hi-IN"/>
              </w:rPr>
              <w:t>1. 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      </w:r>
          </w:p>
          <w:p w:rsidR="004043B8" w:rsidRPr="009B79B5" w:rsidRDefault="004043B8" w:rsidP="004043B8">
            <w:pPr>
              <w:numPr>
                <w:ilvl w:val="1"/>
                <w:numId w:val="0"/>
              </w:numPr>
              <w:suppressAutoHyphens/>
              <w:ind w:firstLine="567"/>
              <w:rPr>
                <w:rFonts w:eastAsia="Times New Roman"/>
                <w:b/>
                <w:color w:val="000000"/>
                <w:kern w:val="1"/>
                <w:lang w:eastAsia="zh-CN" w:bidi="hi-IN"/>
              </w:rPr>
            </w:pPr>
            <w:r w:rsidRPr="009B79B5">
              <w:rPr>
                <w:rFonts w:eastAsia="Times New Roman"/>
                <w:b/>
                <w:color w:val="000000"/>
                <w:kern w:val="1"/>
                <w:lang w:eastAsia="zh-CN" w:bidi="hi-IN"/>
              </w:rPr>
              <w:t>1.1 Наименование и количество поставляемого Товара</w:t>
            </w:r>
          </w:p>
          <w:p w:rsidR="004043B8" w:rsidRPr="009B79B5" w:rsidRDefault="004043B8" w:rsidP="004043B8">
            <w:pPr>
              <w:widowControl w:val="0"/>
              <w:suppressAutoHyphens/>
              <w:ind w:firstLine="567"/>
              <w:rPr>
                <w:rFonts w:eastAsia="Times New Roman"/>
                <w:color w:val="000000"/>
                <w:kern w:val="1"/>
                <w:lang w:bidi="hi-IN"/>
              </w:rPr>
            </w:pPr>
            <w:r>
              <w:rPr>
                <w:rFonts w:eastAsia="Times New Roman"/>
                <w:bCs/>
                <w:color w:val="000000"/>
                <w:kern w:val="1"/>
                <w:lang w:bidi="hi-IN"/>
              </w:rPr>
              <w:t xml:space="preserve">Поставка </w:t>
            </w:r>
            <w:r w:rsidRPr="00FE3428">
              <w:rPr>
                <w:rFonts w:eastAsia="Times New Roman"/>
                <w:bCs/>
                <w:color w:val="000000"/>
                <w:kern w:val="1"/>
                <w:lang w:bidi="hi-IN"/>
              </w:rPr>
              <w:t xml:space="preserve">циркуляционных и центробежных насосов </w:t>
            </w:r>
            <w:r w:rsidRPr="009B79B5">
              <w:rPr>
                <w:rFonts w:eastAsia="Times New Roman"/>
                <w:color w:val="000000"/>
                <w:kern w:val="1"/>
                <w:lang w:bidi="hi-IN"/>
              </w:rPr>
              <w:t>(далее – Товар):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1"/>
              <w:gridCol w:w="5096"/>
              <w:gridCol w:w="1182"/>
              <w:gridCol w:w="1287"/>
            </w:tblGrid>
            <w:tr w:rsidR="004043B8" w:rsidRPr="009B79B5" w:rsidTr="00C52228">
              <w:trPr>
                <w:trHeight w:val="443"/>
              </w:trPr>
              <w:tc>
                <w:tcPr>
                  <w:tcW w:w="328" w:type="pct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LineNumbers/>
                    <w:suppressAutoHyphens/>
                    <w:jc w:val="center"/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  <w:t xml:space="preserve">№ </w:t>
                  </w:r>
                </w:p>
              </w:tc>
              <w:tc>
                <w:tcPr>
                  <w:tcW w:w="3147" w:type="pct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  <w:t>Наименование продукции</w:t>
                  </w:r>
                </w:p>
              </w:tc>
              <w:tc>
                <w:tcPr>
                  <w:tcW w:w="730" w:type="pct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  <w:t>Единица измерения</w:t>
                  </w:r>
                </w:p>
              </w:tc>
              <w:tc>
                <w:tcPr>
                  <w:tcW w:w="795" w:type="pct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  <w:t>Количество</w:t>
                  </w:r>
                </w:p>
              </w:tc>
            </w:tr>
            <w:tr w:rsidR="004043B8" w:rsidRPr="009B79B5" w:rsidTr="00C52228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bookmarkStart w:id="2" w:name="_Hlk436814683"/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  <w:r w:rsidRPr="009B79B5"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 xml:space="preserve"> 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4043B8" w:rsidRPr="009B79B5" w:rsidTr="00C52228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2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  <w:r w:rsidRPr="009B79B5"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 xml:space="preserve"> 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4043B8" w:rsidRPr="009B79B5" w:rsidTr="00C52228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3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Горизонтальный многоступенчатый центробежный насос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2</w:t>
                  </w:r>
                </w:p>
              </w:tc>
            </w:tr>
            <w:tr w:rsidR="004043B8" w:rsidRPr="009B79B5" w:rsidTr="00C52228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4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4043B8" w:rsidRPr="009B79B5" w:rsidTr="00C52228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5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4043B8" w:rsidRPr="009B79B5" w:rsidTr="00C52228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6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4043B8" w:rsidRPr="009B79B5" w:rsidTr="00C52228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7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4043B8" w:rsidRPr="007D2470" w:rsidRDefault="004043B8" w:rsidP="004043B8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 w:rsidRPr="007D2470"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центробежный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4043B8" w:rsidRPr="009B79B5" w:rsidRDefault="004043B8" w:rsidP="004043B8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2</w:t>
                  </w:r>
                </w:p>
              </w:tc>
            </w:tr>
          </w:tbl>
          <w:bookmarkEnd w:id="2"/>
          <w:p w:rsidR="004043B8" w:rsidRPr="009B79B5" w:rsidRDefault="004043B8" w:rsidP="004043B8">
            <w:pPr>
              <w:numPr>
                <w:ilvl w:val="1"/>
                <w:numId w:val="0"/>
              </w:numPr>
              <w:suppressAutoHyphens/>
              <w:ind w:firstLine="567"/>
              <w:rPr>
                <w:rFonts w:eastAsia="Times New Roman"/>
                <w:b/>
                <w:color w:val="000000"/>
                <w:kern w:val="1"/>
                <w:lang w:eastAsia="zh-CN" w:bidi="hi-IN"/>
              </w:rPr>
            </w:pPr>
            <w:r w:rsidRPr="009B79B5">
              <w:rPr>
                <w:rFonts w:eastAsia="Times New Roman"/>
                <w:b/>
                <w:color w:val="000000"/>
                <w:kern w:val="1"/>
                <w:lang w:eastAsia="zh-CN" w:bidi="hi-IN"/>
              </w:rPr>
              <w:t xml:space="preserve">1.2 Требования к качеству </w:t>
            </w:r>
            <w:r>
              <w:rPr>
                <w:rFonts w:eastAsia="Times New Roman"/>
                <w:b/>
                <w:color w:val="000000"/>
                <w:kern w:val="1"/>
                <w:lang w:eastAsia="zh-CN" w:bidi="hi-IN"/>
              </w:rPr>
              <w:t xml:space="preserve">и безопасности </w:t>
            </w:r>
            <w:r w:rsidRPr="009B79B5">
              <w:rPr>
                <w:rFonts w:eastAsia="Times New Roman"/>
                <w:b/>
                <w:color w:val="000000"/>
                <w:kern w:val="1"/>
                <w:lang w:eastAsia="zh-CN" w:bidi="hi-IN"/>
              </w:rPr>
              <w:t>Товара</w:t>
            </w:r>
          </w:p>
          <w:p w:rsidR="004043B8" w:rsidRPr="009B79B5" w:rsidRDefault="004043B8" w:rsidP="004043B8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Качество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и безопасность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поставляемого Товара должно соответствовать 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lastRenderedPageBreak/>
              <w:t>всем требованиям, установленным действующим законодательством Российской Федерации к такого рода товарам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, в том числе</w:t>
            </w:r>
            <w:r w:rsidRPr="006E1487">
              <w:t xml:space="preserve"> </w:t>
            </w:r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>ГОСТ IEC 60335-2-51-2012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, </w:t>
            </w:r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>ГОСТ 31839-2012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, </w:t>
            </w:r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ГОСТ </w:t>
            </w:r>
            <w:proofErr w:type="gramStart"/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>Р</w:t>
            </w:r>
            <w:proofErr w:type="gramEnd"/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МЭК 60204-1-2007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,</w:t>
            </w:r>
            <w:r w:rsidRPr="006E1487">
              <w:rPr>
                <w:rFonts w:eastAsia="Times New Roman"/>
                <w:color w:val="000000"/>
                <w:kern w:val="1"/>
                <w:lang w:eastAsia="zh-CN" w:bidi="hi-IN"/>
              </w:rPr>
              <w:t xml:space="preserve"> </w:t>
            </w:r>
            <w:r w:rsidRPr="009B79B5">
              <w:rPr>
                <w:rFonts w:eastAsia="Times New Roman"/>
                <w:color w:val="000000"/>
                <w:kern w:val="1"/>
                <w:lang w:eastAsia="zh-CN" w:bidi="hi-IN"/>
              </w:rPr>
              <w:t>ТР ТС 004/2011</w:t>
            </w:r>
            <w:r>
              <w:rPr>
                <w:rFonts w:eastAsia="Times New Roman"/>
                <w:color w:val="000000"/>
                <w:kern w:val="1"/>
                <w:lang w:eastAsia="zh-CN" w:bidi="hi-IN"/>
              </w:rPr>
              <w:t xml:space="preserve">, </w:t>
            </w:r>
            <w:r w:rsidRPr="009B79B5">
              <w:rPr>
                <w:rFonts w:eastAsia="Times New Roman"/>
                <w:color w:val="000000"/>
                <w:kern w:val="1"/>
                <w:lang w:eastAsia="zh-CN" w:bidi="hi-IN"/>
              </w:rPr>
              <w:t>ТР ТС 020/2011</w:t>
            </w:r>
            <w:r>
              <w:rPr>
                <w:rFonts w:eastAsia="Times New Roman"/>
                <w:color w:val="000000"/>
                <w:kern w:val="1"/>
                <w:lang w:eastAsia="zh-CN" w:bidi="hi-IN"/>
              </w:rPr>
              <w:t>,</w:t>
            </w:r>
            <w:r w:rsidRPr="00B2281E">
              <w:rPr>
                <w:rFonts w:eastAsia="Times New Roman"/>
                <w:kern w:val="2"/>
                <w:lang w:eastAsia="zh-CN" w:bidi="hi-IN"/>
              </w:rPr>
              <w:t xml:space="preserve"> ТР ТС 010/2011</w:t>
            </w:r>
            <w:r>
              <w:rPr>
                <w:rFonts w:eastAsia="Times New Roman"/>
                <w:kern w:val="2"/>
                <w:lang w:eastAsia="zh-CN" w:bidi="hi-IN"/>
              </w:rPr>
              <w:t xml:space="preserve">, </w:t>
            </w:r>
            <w:r w:rsidRPr="00B2281E">
              <w:rPr>
                <w:rFonts w:eastAsia="Times New Roman"/>
                <w:color w:val="000000"/>
                <w:kern w:val="1"/>
                <w:lang w:eastAsia="zh-CN" w:bidi="hi-IN"/>
              </w:rPr>
              <w:t>ГОСТ Р 54805-2011</w:t>
            </w:r>
            <w:r>
              <w:rPr>
                <w:rFonts w:eastAsia="Times New Roman"/>
                <w:color w:val="000000"/>
                <w:kern w:val="1"/>
                <w:lang w:eastAsia="zh-CN" w:bidi="hi-IN"/>
              </w:rPr>
              <w:t xml:space="preserve"> </w:t>
            </w:r>
            <w:r w:rsidRPr="00B2281E">
              <w:rPr>
                <w:rFonts w:eastAsia="Times New Roman"/>
                <w:color w:val="000000"/>
                <w:kern w:val="1"/>
                <w:lang w:eastAsia="zh-CN" w:bidi="hi-IN"/>
              </w:rPr>
              <w:t>(ИСО 5199:2002)</w:t>
            </w:r>
            <w:r>
              <w:rPr>
                <w:rFonts w:eastAsia="Times New Roman"/>
                <w:color w:val="000000"/>
                <w:kern w:val="1"/>
                <w:lang w:eastAsia="zh-CN" w:bidi="hi-IN"/>
              </w:rPr>
              <w:t>.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>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.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</w:p>
          <w:p w:rsidR="004043B8" w:rsidRPr="009B79B5" w:rsidRDefault="004043B8" w:rsidP="004043B8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Поставляемый Товар должен быть новым, не должен ранее быть в эксплуатации.</w:t>
            </w:r>
          </w:p>
          <w:p w:rsidR="004043B8" w:rsidRPr="009B79B5" w:rsidRDefault="004043B8" w:rsidP="004043B8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4043B8" w:rsidRPr="009B79B5" w:rsidRDefault="004043B8" w:rsidP="004043B8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Дата изготовления (производства) Товара не должна быть ранее</w:t>
            </w:r>
            <w:r w:rsidRPr="009B79B5">
              <w:rPr>
                <w:rFonts w:eastAsia="Times New Roman"/>
                <w:color w:val="FF0000"/>
                <w:kern w:val="2"/>
                <w:lang w:eastAsia="zh-CN" w:bidi="hi-IN"/>
              </w:rPr>
              <w:t xml:space="preserve"> </w:t>
            </w:r>
            <w:r w:rsidRPr="009B79B5">
              <w:rPr>
                <w:rFonts w:eastAsia="Times New Roman"/>
                <w:kern w:val="2"/>
                <w:lang w:eastAsia="zh-CN" w:bidi="hi-IN"/>
              </w:rPr>
              <w:t xml:space="preserve">2024 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года, что подтверждается паспортами заводов-изготовителей.</w:t>
            </w:r>
          </w:p>
          <w:p w:rsidR="004043B8" w:rsidRPr="009B79B5" w:rsidRDefault="004043B8" w:rsidP="004043B8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Товар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долж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ен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сопровождаться документацией на русском языке на бумажном носителе:</w:t>
            </w:r>
          </w:p>
          <w:p w:rsidR="004043B8" w:rsidRPr="009B79B5" w:rsidRDefault="004043B8" w:rsidP="004043B8">
            <w:pPr>
              <w:widowControl w:val="0"/>
              <w:numPr>
                <w:ilvl w:val="0"/>
                <w:numId w:val="23"/>
              </w:numPr>
              <w:tabs>
                <w:tab w:val="left" w:pos="142"/>
                <w:tab w:val="left" w:pos="709"/>
                <w:tab w:val="left" w:pos="994"/>
              </w:tabs>
              <w:suppressAutoHyphens/>
              <w:ind w:left="993" w:hanging="993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паспорта качества;</w:t>
            </w:r>
          </w:p>
          <w:p w:rsidR="004043B8" w:rsidRPr="009B79B5" w:rsidRDefault="004043B8" w:rsidP="004043B8">
            <w:pPr>
              <w:widowControl w:val="0"/>
              <w:numPr>
                <w:ilvl w:val="0"/>
                <w:numId w:val="23"/>
              </w:numPr>
              <w:tabs>
                <w:tab w:val="left" w:pos="142"/>
                <w:tab w:val="left" w:pos="709"/>
                <w:tab w:val="left" w:pos="993"/>
              </w:tabs>
              <w:suppressAutoHyphens/>
              <w:ind w:hanging="1429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сертификаты (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декларации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)</w:t>
            </w:r>
            <w:r w:rsidRPr="00B2281E">
              <w:t xml:space="preserve"> </w:t>
            </w:r>
            <w:r w:rsidRPr="00B2281E">
              <w:rPr>
                <w:rFonts w:eastAsia="Times New Roman"/>
                <w:color w:val="000000"/>
                <w:kern w:val="2"/>
                <w:lang w:eastAsia="zh-CN" w:bidi="hi-IN"/>
              </w:rPr>
              <w:t>соответствия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;</w:t>
            </w:r>
          </w:p>
          <w:p w:rsidR="00940B57" w:rsidRDefault="004043B8" w:rsidP="004043B8">
            <w:pPr>
              <w:widowControl w:val="0"/>
              <w:tabs>
                <w:tab w:val="left" w:pos="142"/>
                <w:tab w:val="left" w:pos="709"/>
                <w:tab w:val="left" w:pos="993"/>
              </w:tabs>
              <w:suppressAutoHyphens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- 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руководства по эксплуатации.</w:t>
            </w:r>
          </w:p>
          <w:p w:rsidR="004043B8" w:rsidRPr="009B79B5" w:rsidRDefault="004043B8" w:rsidP="004043B8">
            <w:pPr>
              <w:pStyle w:val="a1"/>
              <w:numPr>
                <w:ilvl w:val="0"/>
                <w:numId w:val="0"/>
              </w:numPr>
              <w:tabs>
                <w:tab w:val="left" w:pos="851"/>
              </w:tabs>
              <w:spacing w:before="0" w:line="240" w:lineRule="auto"/>
              <w:ind w:firstLine="567"/>
              <w:rPr>
                <w:color w:val="auto"/>
              </w:rPr>
            </w:pPr>
            <w:r>
              <w:rPr>
                <w:color w:val="auto"/>
              </w:rPr>
              <w:t xml:space="preserve">1.4. </w:t>
            </w:r>
            <w:r w:rsidRPr="009B79B5">
              <w:rPr>
                <w:color w:val="auto"/>
              </w:rPr>
              <w:t>Требования к упаковке, отгрузке Товара</w:t>
            </w:r>
          </w:p>
          <w:p w:rsidR="004043B8" w:rsidRPr="009B79B5" w:rsidRDefault="004043B8" w:rsidP="004043B8">
            <w:pPr>
              <w:ind w:firstLine="567"/>
              <w:rPr>
                <w:color w:val="000000"/>
              </w:rPr>
            </w:pPr>
            <w:r w:rsidRPr="009B79B5">
              <w:rPr>
                <w:color w:val="000000"/>
              </w:rPr>
      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      </w:r>
          </w:p>
          <w:p w:rsidR="004043B8" w:rsidRPr="00940B57" w:rsidRDefault="004043B8" w:rsidP="004043B8">
            <w:pPr>
              <w:widowControl w:val="0"/>
              <w:tabs>
                <w:tab w:val="left" w:pos="142"/>
                <w:tab w:val="left" w:pos="709"/>
                <w:tab w:val="left" w:pos="993"/>
              </w:tabs>
              <w:suppressAutoHyphens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color w:val="000000"/>
              </w:rPr>
              <w:t>Отгрузка Товара осуществляется силами и средствами Поставщика или иными привлеченными Поставщиком третьими лицами, за счет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940B57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0B6883">
              <w:rPr>
                <w:u w:val="single"/>
              </w:rPr>
              <w:t>2</w:t>
            </w:r>
            <w:r w:rsidR="00645915">
              <w:rPr>
                <w:u w:val="single"/>
              </w:rPr>
              <w:t> </w:t>
            </w:r>
            <w:r w:rsidR="00940B57">
              <w:rPr>
                <w:u w:val="single"/>
              </w:rPr>
              <w:t>0</w:t>
            </w:r>
            <w:r w:rsidR="00645915">
              <w:rPr>
                <w:u w:val="single"/>
              </w:rPr>
              <w:t>48 7</w:t>
            </w:r>
            <w:r w:rsidR="00940B57">
              <w:rPr>
                <w:u w:val="single"/>
              </w:rPr>
              <w:t>28</w:t>
            </w:r>
            <w:r w:rsidR="00371C33" w:rsidRPr="00A43D0E">
              <w:rPr>
                <w:u w:val="single"/>
              </w:rPr>
              <w:t xml:space="preserve"> (</w:t>
            </w:r>
            <w:r w:rsidR="000B6883">
              <w:rPr>
                <w:u w:val="single"/>
              </w:rPr>
              <w:t xml:space="preserve">два миллиона </w:t>
            </w:r>
            <w:r w:rsidR="00940B57">
              <w:rPr>
                <w:u w:val="single"/>
              </w:rPr>
              <w:t>сорок восемь тысяч семьсот двадцать восемь</w:t>
            </w:r>
            <w:r w:rsidR="00371C33" w:rsidRPr="00A43D0E">
              <w:rPr>
                <w:u w:val="single"/>
              </w:rPr>
              <w:t>) рубл</w:t>
            </w:r>
            <w:r w:rsidR="000B6883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940B57">
              <w:rPr>
                <w:u w:val="single"/>
              </w:rPr>
              <w:t>58</w:t>
            </w:r>
            <w:r w:rsidR="00371C33">
              <w:rPr>
                <w:u w:val="single"/>
              </w:rPr>
              <w:t xml:space="preserve"> копе</w:t>
            </w:r>
            <w:r w:rsidR="00940B57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4043B8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4043B8">
              <w:rPr>
                <w:iCs/>
              </w:rPr>
              <w:t>02</w:t>
            </w:r>
            <w:r w:rsidRPr="00751F95">
              <w:rPr>
                <w:iCs/>
              </w:rPr>
              <w:t xml:space="preserve">» </w:t>
            </w:r>
            <w:r w:rsidR="004043B8">
              <w:rPr>
                <w:iCs/>
              </w:rPr>
              <w:t>апреля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317F07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0B6883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4043B8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4043B8">
              <w:rPr>
                <w:iCs/>
              </w:rPr>
              <w:t>02</w:t>
            </w:r>
            <w:r w:rsidRPr="00751F95">
              <w:rPr>
                <w:iCs/>
              </w:rPr>
              <w:t xml:space="preserve">» </w:t>
            </w:r>
            <w:r w:rsidR="004043B8">
              <w:rPr>
                <w:iCs/>
              </w:rPr>
              <w:t>апреля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317F07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0B6883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4043B8">
              <w:t>03</w:t>
            </w:r>
            <w:r w:rsidR="000200A5" w:rsidRPr="00751F95">
              <w:t xml:space="preserve">» </w:t>
            </w:r>
            <w:r w:rsidR="004043B8">
              <w:t>апреля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17F07">
              <w:t>8</w:t>
            </w:r>
            <w:r w:rsidR="000200A5" w:rsidRPr="00751F95">
              <w:t>:</w:t>
            </w:r>
            <w:r w:rsidR="000B6883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4043B8">
              <w:t>04</w:t>
            </w:r>
            <w:r w:rsidR="00651EAF">
              <w:t>»</w:t>
            </w:r>
            <w:r w:rsidR="000200A5" w:rsidRPr="00751F95">
              <w:t xml:space="preserve"> </w:t>
            </w:r>
            <w:r w:rsidR="004043B8">
              <w:t>апреля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17F07">
              <w:t>8</w:t>
            </w:r>
            <w:r w:rsidR="000200A5" w:rsidRPr="00751F95">
              <w:t>:</w:t>
            </w:r>
            <w:r w:rsidR="000B6883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4043B8">
              <w:t>05</w:t>
            </w:r>
            <w:r w:rsidRPr="00751F95">
              <w:t xml:space="preserve">» </w:t>
            </w:r>
            <w:r w:rsidR="0062543F">
              <w:t>а</w:t>
            </w:r>
            <w:r w:rsidR="004043B8">
              <w:t>преля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317F07">
              <w:t>8</w:t>
            </w:r>
            <w:r w:rsidRPr="00751F95">
              <w:t>:</w:t>
            </w:r>
            <w:r w:rsidR="000B6883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BB2861" w:rsidRPr="00940B57">
              <w:t>циркуляционных и центробежных насосов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lastRenderedPageBreak/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4043B8">
              <w:rPr>
                <w:bCs/>
                <w:color w:val="000000"/>
              </w:rPr>
              <w:t>02</w:t>
            </w:r>
            <w:r w:rsidRPr="00751F95">
              <w:rPr>
                <w:bCs/>
                <w:color w:val="000000"/>
              </w:rPr>
              <w:t xml:space="preserve">» </w:t>
            </w:r>
            <w:r w:rsidR="0062543F">
              <w:rPr>
                <w:bCs/>
                <w:color w:val="000000"/>
              </w:rPr>
              <w:t>а</w:t>
            </w:r>
            <w:r w:rsidR="004043B8">
              <w:rPr>
                <w:bCs/>
                <w:color w:val="000000"/>
              </w:rPr>
              <w:t>преля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317F07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0B6883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19"/>
  </w:num>
  <w:num w:numId="15">
    <w:abstractNumId w:val="14"/>
  </w:num>
  <w:num w:numId="16">
    <w:abstractNumId w:val="10"/>
  </w:num>
  <w:num w:numId="17">
    <w:abstractNumId w:val="2"/>
  </w:num>
  <w:num w:numId="18">
    <w:abstractNumId w:val="4"/>
  </w:num>
  <w:num w:numId="19">
    <w:abstractNumId w:val="12"/>
  </w:num>
  <w:num w:numId="20">
    <w:abstractNumId w:val="20"/>
  </w:num>
  <w:num w:numId="21">
    <w:abstractNumId w:val="15"/>
  </w:num>
  <w:num w:numId="22">
    <w:abstractNumId w:val="1"/>
  </w:num>
  <w:num w:numId="2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B6883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17F07"/>
    <w:rsid w:val="00371C33"/>
    <w:rsid w:val="00381449"/>
    <w:rsid w:val="0039681B"/>
    <w:rsid w:val="003A5C68"/>
    <w:rsid w:val="003C0B31"/>
    <w:rsid w:val="003C1AC6"/>
    <w:rsid w:val="003F7775"/>
    <w:rsid w:val="004043B8"/>
    <w:rsid w:val="00404CB7"/>
    <w:rsid w:val="004202E0"/>
    <w:rsid w:val="004220D7"/>
    <w:rsid w:val="00443819"/>
    <w:rsid w:val="00466924"/>
    <w:rsid w:val="004815A6"/>
    <w:rsid w:val="00483224"/>
    <w:rsid w:val="004963AA"/>
    <w:rsid w:val="004B310E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543F"/>
    <w:rsid w:val="00627422"/>
    <w:rsid w:val="00645915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40B57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2861"/>
    <w:rsid w:val="00BB65C8"/>
    <w:rsid w:val="00BE0E8A"/>
    <w:rsid w:val="00C1502E"/>
    <w:rsid w:val="00C23C2B"/>
    <w:rsid w:val="00C27E1D"/>
    <w:rsid w:val="00C34625"/>
    <w:rsid w:val="00C3560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A4B3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03C8B-12BD-4FC9-9CEA-A456A40F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2024-03-20T09:33:00Z</cp:lastPrinted>
  <dcterms:created xsi:type="dcterms:W3CDTF">2024-03-20T09:12:00Z</dcterms:created>
  <dcterms:modified xsi:type="dcterms:W3CDTF">2024-03-20T10:04:00Z</dcterms:modified>
</cp:coreProperties>
</file>