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CC7E4E" w:rsidRDefault="002972EE" w:rsidP="00516DE2">
            <w:pPr>
              <w:widowControl w:val="0"/>
              <w:autoSpaceDE w:val="0"/>
              <w:ind w:firstLine="34"/>
              <w:jc w:val="left"/>
              <w:rPr>
                <w:rFonts w:eastAsia="Times New Roman"/>
                <w:b/>
              </w:rPr>
            </w:pPr>
            <w:r>
              <w:rPr>
                <w:rFonts w:eastAsia="Times New Roman"/>
                <w:b/>
              </w:rPr>
              <w:t>Технический директор</w:t>
            </w:r>
            <w:r w:rsidR="00CC7E4E">
              <w:rPr>
                <w:rFonts w:eastAsia="Times New Roman"/>
                <w:b/>
              </w:rPr>
              <w:t xml:space="preserve">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2972EE">
              <w:rPr>
                <w:rFonts w:eastAsia="Times New Roman"/>
                <w:b/>
              </w:rPr>
              <w:t xml:space="preserve">С.А. </w:t>
            </w:r>
            <w:proofErr w:type="spellStart"/>
            <w:r w:rsidR="002972EE">
              <w:rPr>
                <w:rFonts w:eastAsia="Times New Roman"/>
                <w:b/>
              </w:rPr>
              <w:t>Клюсов</w:t>
            </w:r>
            <w:proofErr w:type="spellEnd"/>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2972EE" w:rsidP="001F5A80">
            <w:pPr>
              <w:widowControl w:val="0"/>
              <w:autoSpaceDE w:val="0"/>
              <w:jc w:val="left"/>
              <w:rPr>
                <w:rFonts w:eastAsia="Times New Roman"/>
                <w:b/>
                <w:highlight w:val="yellow"/>
              </w:rPr>
            </w:pPr>
            <w:proofErr w:type="spellStart"/>
            <w:r>
              <w:rPr>
                <w:rFonts w:eastAsia="Times New Roman"/>
                <w:b/>
              </w:rPr>
              <w:t>Врио</w:t>
            </w:r>
            <w:proofErr w:type="spellEnd"/>
            <w:r>
              <w:rPr>
                <w:rFonts w:eastAsia="Times New Roman"/>
                <w:b/>
              </w:rPr>
              <w:t xml:space="preserve"> г</w:t>
            </w:r>
            <w:r w:rsidR="001F5A80" w:rsidRPr="00A43D0E">
              <w:rPr>
                <w:rFonts w:eastAsia="Times New Roman"/>
                <w:b/>
              </w:rPr>
              <w:t>енеральн</w:t>
            </w:r>
            <w:r>
              <w:rPr>
                <w:rFonts w:eastAsia="Times New Roman"/>
                <w:b/>
              </w:rPr>
              <w:t>ого</w:t>
            </w:r>
            <w:r w:rsidR="001F5A80" w:rsidRPr="00A43D0E">
              <w:rPr>
                <w:rFonts w:eastAsia="Times New Roman"/>
                <w:b/>
              </w:rPr>
              <w:t xml:space="preserve"> директор</w:t>
            </w:r>
            <w:r>
              <w:rPr>
                <w:rFonts w:eastAsia="Times New Roman"/>
                <w:b/>
              </w:rPr>
              <w:t>а</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2972EE">
              <w:rPr>
                <w:rFonts w:eastAsia="Times New Roman"/>
                <w:b/>
              </w:rPr>
              <w:t>П.Н. Захаров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0019AA" w:rsidRPr="000019AA">
        <w:rPr>
          <w:b/>
          <w:sz w:val="28"/>
          <w:szCs w:val="28"/>
        </w:rPr>
        <w:t>датчиков расхода газа</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2972EE" w:rsidRDefault="002972EE">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B11124" w:rsidRDefault="00B1112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156DDD">
            <w:pPr>
              <w:snapToGrid w:val="0"/>
              <w:jc w:val="center"/>
              <w:rPr>
                <w:rFonts w:eastAsia="Times New Roman" w:cs="Arial"/>
                <w:bCs/>
                <w:sz w:val="28"/>
                <w:szCs w:val="28"/>
              </w:rPr>
            </w:pPr>
            <w:r>
              <w:rPr>
                <w:rFonts w:eastAsia="Times New Roman" w:cs="Arial"/>
                <w:bCs/>
                <w:sz w:val="28"/>
                <w:szCs w:val="28"/>
              </w:rPr>
              <w:t>39-</w:t>
            </w:r>
            <w:r w:rsidR="00156DDD">
              <w:rPr>
                <w:rFonts w:eastAsia="Times New Roman" w:cs="Arial"/>
                <w:bCs/>
                <w:sz w:val="28"/>
                <w:szCs w:val="28"/>
              </w:rPr>
              <w:t>45</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156DDD" w:rsidP="00156DDD">
            <w:pPr>
              <w:snapToGrid w:val="0"/>
              <w:jc w:val="center"/>
              <w:rPr>
                <w:rFonts w:eastAsia="Times New Roman" w:cs="Arial"/>
                <w:bCs/>
                <w:sz w:val="28"/>
                <w:szCs w:val="28"/>
              </w:rPr>
            </w:pPr>
            <w:r>
              <w:rPr>
                <w:rFonts w:eastAsia="Times New Roman" w:cs="Arial"/>
                <w:bCs/>
                <w:sz w:val="28"/>
                <w:szCs w:val="28"/>
              </w:rPr>
              <w:t>4</w:t>
            </w:r>
            <w:r w:rsidR="00372AA5">
              <w:rPr>
                <w:rFonts w:eastAsia="Times New Roman" w:cs="Arial"/>
                <w:bCs/>
                <w:sz w:val="28"/>
                <w:szCs w:val="28"/>
              </w:rPr>
              <w:t>6</w:t>
            </w:r>
            <w:r w:rsidR="00907D87">
              <w:rPr>
                <w:rFonts w:eastAsia="Times New Roman" w:cs="Arial"/>
                <w:bCs/>
                <w:sz w:val="28"/>
                <w:szCs w:val="28"/>
              </w:rPr>
              <w:t>-</w:t>
            </w:r>
            <w:r>
              <w:rPr>
                <w:rFonts w:eastAsia="Times New Roman" w:cs="Arial"/>
                <w:bCs/>
                <w:sz w:val="28"/>
                <w:szCs w:val="28"/>
              </w:rPr>
              <w:t>51</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156DDD" w:rsidP="00156DDD">
            <w:pPr>
              <w:snapToGrid w:val="0"/>
              <w:jc w:val="center"/>
              <w:rPr>
                <w:rFonts w:eastAsia="Times New Roman" w:cs="Arial"/>
                <w:bCs/>
                <w:sz w:val="28"/>
                <w:szCs w:val="28"/>
                <w:lang w:val="en-US"/>
              </w:rPr>
            </w:pPr>
            <w:r>
              <w:rPr>
                <w:rFonts w:eastAsia="Times New Roman" w:cs="Arial"/>
                <w:bCs/>
                <w:sz w:val="28"/>
                <w:szCs w:val="28"/>
              </w:rPr>
              <w:t>52</w:t>
            </w:r>
            <w:r w:rsidR="0084729D">
              <w:rPr>
                <w:rFonts w:eastAsia="Times New Roman" w:cs="Arial"/>
                <w:bCs/>
                <w:sz w:val="28"/>
                <w:szCs w:val="28"/>
              </w:rPr>
              <w:t>-</w:t>
            </w:r>
            <w:r>
              <w:rPr>
                <w:rFonts w:eastAsia="Times New Roman" w:cs="Arial"/>
                <w:bCs/>
                <w:sz w:val="28"/>
                <w:szCs w:val="28"/>
              </w:rPr>
              <w:t>54</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4239F3">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4239F3">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B11124" w:rsidRPr="00603A58" w:rsidRDefault="00B11124" w:rsidP="00B11124">
            <w:pPr>
              <w:autoSpaceDE w:val="0"/>
              <w:autoSpaceDN w:val="0"/>
              <w:adjustRightInd w:val="0"/>
              <w:rPr>
                <w:rFonts w:eastAsia="Times New Roman"/>
                <w:iCs/>
                <w:color w:val="000000"/>
              </w:rPr>
            </w:pPr>
            <w:r>
              <w:rPr>
                <w:rFonts w:eastAsia="Times New Roman"/>
                <w:iCs/>
                <w:color w:val="000000"/>
              </w:rPr>
              <w:t>Заместитель н</w:t>
            </w:r>
            <w:r w:rsidRPr="00603A58">
              <w:rPr>
                <w:rFonts w:eastAsia="Times New Roman"/>
                <w:iCs/>
                <w:color w:val="000000"/>
              </w:rPr>
              <w:t>ачальник</w:t>
            </w:r>
            <w:r>
              <w:rPr>
                <w:rFonts w:eastAsia="Times New Roman"/>
                <w:iCs/>
                <w:color w:val="000000"/>
              </w:rPr>
              <w:t>а</w:t>
            </w:r>
            <w:r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Pr="00603A58">
              <w:rPr>
                <w:rFonts w:eastAsia="Times New Roman"/>
                <w:iCs/>
                <w:color w:val="000000"/>
              </w:rPr>
              <w:t xml:space="preserve"> тел. (3467) 32-69-89.</w:t>
            </w:r>
          </w:p>
          <w:p w:rsidR="00B11124" w:rsidRPr="002B1C43" w:rsidRDefault="00B11124" w:rsidP="00B11124">
            <w:pPr>
              <w:autoSpaceDE w:val="0"/>
              <w:autoSpaceDN w:val="0"/>
              <w:adjustRightInd w:val="0"/>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0019AA" w:rsidP="00B11124">
            <w:pPr>
              <w:autoSpaceDE w:val="0"/>
            </w:pPr>
            <w:r>
              <w:rPr>
                <w:rFonts w:eastAsia="Times New Roman"/>
                <w:iCs/>
                <w:color w:val="000000"/>
              </w:rPr>
              <w:t>Главный энергетик Беляев Александр Владимирович</w:t>
            </w:r>
            <w:r>
              <w:rPr>
                <w:bCs/>
              </w:rPr>
              <w:t xml:space="preserve"> </w:t>
            </w:r>
            <w:r w:rsidRPr="00E858B5">
              <w:rPr>
                <w:bCs/>
              </w:rPr>
              <w:t xml:space="preserve">тел. </w:t>
            </w:r>
            <w:r>
              <w:rPr>
                <w:bCs/>
              </w:rPr>
              <w:t>(3467) 32-77-50</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3"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w:t>
            </w:r>
            <w:proofErr w:type="gramStart"/>
            <w:r w:rsidRPr="00C51B47">
              <w:rPr>
                <w:bCs/>
              </w:rPr>
              <w:t>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roofErr w:type="gramEnd"/>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2972EE">
            <w:r w:rsidRPr="009F5E45">
              <w:rPr>
                <w:rFonts w:eastAsia="Times New Roman"/>
              </w:rPr>
              <w:t>«</w:t>
            </w:r>
            <w:r w:rsidR="002972EE">
              <w:rPr>
                <w:rFonts w:eastAsia="Times New Roman"/>
              </w:rPr>
              <w:t>22</w:t>
            </w:r>
            <w:r w:rsidRPr="009F5E45">
              <w:rPr>
                <w:rFonts w:eastAsia="Times New Roman"/>
              </w:rPr>
              <w:t xml:space="preserve">» </w:t>
            </w:r>
            <w:r w:rsidR="002972EE">
              <w:rPr>
                <w:rFonts w:eastAsia="Times New Roman"/>
              </w:rPr>
              <w:t>марта</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2972EE">
            <w:r w:rsidRPr="009F5E45">
              <w:t>«</w:t>
            </w:r>
            <w:r w:rsidR="000019AA">
              <w:t>0</w:t>
            </w:r>
            <w:r w:rsidR="002972EE">
              <w:t>1</w:t>
            </w:r>
            <w:r w:rsidRPr="009F5E45">
              <w:t xml:space="preserve">» </w:t>
            </w:r>
            <w:r w:rsidR="00B11124">
              <w:t>а</w:t>
            </w:r>
            <w:r w:rsidR="002972EE">
              <w:t>преля</w:t>
            </w:r>
            <w:r w:rsidRPr="009F5E45">
              <w:t xml:space="preserve"> 202</w:t>
            </w:r>
            <w:r w:rsidR="00CC7E4E">
              <w:t>4</w:t>
            </w:r>
            <w:r w:rsidRPr="009F5E45">
              <w:t xml:space="preserve"> года в 0</w:t>
            </w:r>
            <w:r w:rsidR="002972EE">
              <w:t>9</w:t>
            </w:r>
            <w:r w:rsidRPr="009F5E45">
              <w:t>:</w:t>
            </w:r>
            <w:r w:rsidR="002972EE">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2972EE">
            <w:pPr>
              <w:autoSpaceDE w:val="0"/>
              <w:rPr>
                <w:rFonts w:eastAsia="Times New Roman"/>
                <w:highlight w:val="lightGray"/>
              </w:rPr>
            </w:pPr>
            <w:r w:rsidRPr="009F5E45">
              <w:t>«</w:t>
            </w:r>
            <w:r w:rsidR="00CC7E4E">
              <w:t>0</w:t>
            </w:r>
            <w:r w:rsidR="002972EE">
              <w:t>1</w:t>
            </w:r>
            <w:r w:rsidRPr="009F5E45">
              <w:t xml:space="preserve">» </w:t>
            </w:r>
            <w:r w:rsidR="00B11124">
              <w:t>а</w:t>
            </w:r>
            <w:r w:rsidR="002972EE">
              <w:t>преля</w:t>
            </w:r>
            <w:r w:rsidRPr="009F5E45">
              <w:t xml:space="preserve"> 202</w:t>
            </w:r>
            <w:r w:rsidR="00CC7E4E">
              <w:t>4</w:t>
            </w:r>
            <w:r w:rsidRPr="009F5E45">
              <w:t xml:space="preserve"> года в 0</w:t>
            </w:r>
            <w:r w:rsidR="002972EE">
              <w:t>9</w:t>
            </w:r>
            <w:r w:rsidRPr="009F5E45">
              <w:t>:</w:t>
            </w:r>
            <w:r w:rsidR="002972EE">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B11124">
              <w:t>0</w:t>
            </w:r>
            <w:r w:rsidR="002972EE">
              <w:t>2</w:t>
            </w:r>
            <w:r w:rsidR="00A31594" w:rsidRPr="009F5E45">
              <w:t xml:space="preserve">» </w:t>
            </w:r>
            <w:r w:rsidR="00B11124">
              <w:t>а</w:t>
            </w:r>
            <w:r w:rsidR="002972EE">
              <w:t>преля</w:t>
            </w:r>
            <w:r w:rsidR="00A31594" w:rsidRPr="009F5E45">
              <w:t xml:space="preserve"> 202</w:t>
            </w:r>
            <w:r w:rsidR="00CC7E4E">
              <w:t>4</w:t>
            </w:r>
            <w:r w:rsidR="00A31594" w:rsidRPr="009F5E45">
              <w:t xml:space="preserve"> года в 0</w:t>
            </w:r>
            <w:r w:rsidR="002972EE">
              <w:t>9</w:t>
            </w:r>
            <w:r w:rsidR="00A31594" w:rsidRPr="009F5E45">
              <w:t>:</w:t>
            </w:r>
            <w:r w:rsidR="002972EE">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2972EE">
              <w:t>03</w:t>
            </w:r>
            <w:r w:rsidR="00A31594" w:rsidRPr="009F5E45">
              <w:t xml:space="preserve">» </w:t>
            </w:r>
            <w:r w:rsidR="00B11124">
              <w:t>а</w:t>
            </w:r>
            <w:r w:rsidR="002972EE">
              <w:t>преля</w:t>
            </w:r>
            <w:r w:rsidR="00A31594" w:rsidRPr="009F5E45">
              <w:t xml:space="preserve"> 202</w:t>
            </w:r>
            <w:r w:rsidR="00CC7E4E">
              <w:t>4</w:t>
            </w:r>
            <w:r w:rsidR="00A31594" w:rsidRPr="009F5E45">
              <w:t xml:space="preserve"> года в 0</w:t>
            </w:r>
            <w:r w:rsidR="002972EE">
              <w:t>9</w:t>
            </w:r>
            <w:r w:rsidR="00A31594" w:rsidRPr="009F5E45">
              <w:t>:</w:t>
            </w:r>
            <w:r w:rsidR="002972EE">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2972EE">
              <w:t>04</w:t>
            </w:r>
            <w:r w:rsidR="00A31594" w:rsidRPr="009F5E45">
              <w:t xml:space="preserve">» </w:t>
            </w:r>
            <w:r w:rsidR="00B11124">
              <w:t>а</w:t>
            </w:r>
            <w:r w:rsidR="002972EE">
              <w:t>преля</w:t>
            </w:r>
            <w:r w:rsidR="00A31594" w:rsidRPr="009F5E45">
              <w:t xml:space="preserve"> 202</w:t>
            </w:r>
            <w:r w:rsidR="00CC7E4E">
              <w:t>4</w:t>
            </w:r>
            <w:r w:rsidR="00A31594" w:rsidRPr="009F5E45">
              <w:t xml:space="preserve"> года в 0</w:t>
            </w:r>
            <w:r w:rsidR="002972EE">
              <w:t>9</w:t>
            </w:r>
            <w:r w:rsidR="00A31594" w:rsidRPr="009F5E45">
              <w:t>:</w:t>
            </w:r>
            <w:r w:rsidR="002972EE">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D1%84%D0%BE%D1%80%D0%BC%D0%B09"/>
            <w:bookmarkStart w:id="9" w:name="_Ref460512251"/>
            <w:bookmarkEnd w:id="8"/>
            <w:bookmarkEnd w:id="9"/>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B11124">
              <w:rPr>
                <w:rFonts w:eastAsia="Times New Roman"/>
              </w:rPr>
              <w:t>2</w:t>
            </w:r>
            <w:r w:rsidR="002972EE">
              <w:rPr>
                <w:rFonts w:eastAsia="Times New Roman"/>
              </w:rPr>
              <w:t>2</w:t>
            </w:r>
            <w:r w:rsidR="00A31594" w:rsidRPr="009F5E45">
              <w:rPr>
                <w:rFonts w:eastAsia="Times New Roman"/>
              </w:rPr>
              <w:t xml:space="preserve">» </w:t>
            </w:r>
            <w:r w:rsidR="002972EE">
              <w:rPr>
                <w:rFonts w:eastAsia="Times New Roman"/>
              </w:rPr>
              <w:t>марта</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2972EE">
              <w:t>01</w:t>
            </w:r>
            <w:r w:rsidRPr="009F5E45">
              <w:t xml:space="preserve">» </w:t>
            </w:r>
            <w:r w:rsidR="00B11124">
              <w:t>а</w:t>
            </w:r>
            <w:r w:rsidR="002972EE">
              <w:t>преля</w:t>
            </w:r>
            <w:r w:rsidRPr="009F5E45">
              <w:t xml:space="preserve"> 202</w:t>
            </w:r>
            <w:r w:rsidR="00CC7E4E">
              <w:t>4</w:t>
            </w:r>
            <w:r w:rsidRPr="009F5E45">
              <w:t xml:space="preserve"> года 0</w:t>
            </w:r>
            <w:r w:rsidR="002972EE">
              <w:t>9</w:t>
            </w:r>
            <w:r w:rsidRPr="009F5E45">
              <w:t>:</w:t>
            </w:r>
            <w:r w:rsidR="002972EE">
              <w:t>0</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0" w:name="_Ref378105180"/>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156DDD" w:rsidRPr="00156DDD">
              <w:rPr>
                <w:b/>
                <w:u w:val="single"/>
              </w:rPr>
              <w:t>датчиков расхода газа</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156DDD" w:rsidRPr="00156DDD">
              <w:rPr>
                <w:b/>
                <w:u w:val="single"/>
              </w:rPr>
              <w:t>датчиков расхода газа</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1" w:name="_Ref378853453"/>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2" w:name="_Ref368315592"/>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2972EE">
              <w:rPr>
                <w:rFonts w:eastAsia="DejaVu Sans" w:cs="DejaVu Sans"/>
                <w:b/>
                <w:iCs/>
                <w:kern w:val="1"/>
                <w:lang w:bidi="hi-IN"/>
              </w:rPr>
              <w:t>4 299 626</w:t>
            </w:r>
            <w:r w:rsidR="00A31594" w:rsidRPr="004320F9">
              <w:rPr>
                <w:rFonts w:eastAsia="DejaVu Sans" w:cs="DejaVu Sans"/>
                <w:b/>
                <w:iCs/>
                <w:kern w:val="1"/>
                <w:lang w:bidi="hi-IN"/>
              </w:rPr>
              <w:t xml:space="preserve"> (</w:t>
            </w:r>
            <w:r w:rsidR="002972EE">
              <w:rPr>
                <w:rFonts w:eastAsia="DejaVu Sans" w:cs="DejaVu Sans"/>
                <w:b/>
                <w:iCs/>
                <w:kern w:val="1"/>
                <w:lang w:bidi="hi-IN"/>
              </w:rPr>
              <w:t>четыре миллиона двести девяносто девять тысяч шестьсот двадцать шесть</w:t>
            </w:r>
            <w:r w:rsidR="00A31594" w:rsidRPr="004320F9">
              <w:rPr>
                <w:rFonts w:eastAsia="DejaVu Sans" w:cs="DejaVu Sans"/>
                <w:b/>
                <w:iCs/>
                <w:kern w:val="1"/>
                <w:lang w:bidi="hi-IN"/>
              </w:rPr>
              <w:t>) рубл</w:t>
            </w:r>
            <w:r w:rsidR="00156DDD">
              <w:rPr>
                <w:rFonts w:eastAsia="DejaVu Sans" w:cs="DejaVu Sans"/>
                <w:b/>
                <w:iCs/>
                <w:kern w:val="1"/>
                <w:lang w:bidi="hi-IN"/>
              </w:rPr>
              <w:t>ей</w:t>
            </w:r>
            <w:r w:rsidR="00A31594" w:rsidRPr="004320F9">
              <w:rPr>
                <w:rFonts w:eastAsia="DejaVu Sans" w:cs="DejaVu Sans"/>
                <w:b/>
                <w:iCs/>
                <w:kern w:val="1"/>
                <w:lang w:bidi="hi-IN"/>
              </w:rPr>
              <w:t xml:space="preserve"> </w:t>
            </w:r>
            <w:r w:rsidR="002972EE">
              <w:rPr>
                <w:rFonts w:eastAsia="DejaVu Sans" w:cs="DejaVu Sans"/>
                <w:b/>
                <w:iCs/>
                <w:kern w:val="1"/>
                <w:lang w:bidi="hi-IN"/>
              </w:rPr>
              <w:t>0</w:t>
            </w:r>
            <w:r w:rsidR="00156DDD">
              <w:rPr>
                <w:rFonts w:eastAsia="DejaVu Sans" w:cs="DejaVu Sans"/>
                <w:b/>
                <w:iCs/>
                <w:kern w:val="1"/>
                <w:lang w:bidi="hi-IN"/>
              </w:rPr>
              <w:t>0</w:t>
            </w:r>
            <w:r w:rsidR="00A31594" w:rsidRPr="004320F9">
              <w:rPr>
                <w:rFonts w:eastAsia="DejaVu Sans" w:cs="DejaVu Sans"/>
                <w:b/>
                <w:iCs/>
                <w:kern w:val="1"/>
                <w:lang w:bidi="hi-IN"/>
              </w:rPr>
              <w:t xml:space="preserve"> копе</w:t>
            </w:r>
            <w:r w:rsidR="00156DDD">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156DDD"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3" w:name="_Ref378853304"/>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4" w:name="_Ref378109129"/>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156DDD">
                    <w:rPr>
                      <w:rFonts w:eastAsia="Times New Roman" w:cs="Arial"/>
                    </w:rPr>
                    <w:t>рабочих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156DDD">
                    <w:rPr>
                      <w:rFonts w:eastAsia="Times New Roman" w:cs="Arial"/>
                    </w:rPr>
                    <w:t>30</w:t>
                  </w:r>
                  <w:r w:rsidR="00A5012F" w:rsidRPr="009A67E5">
                    <w:rPr>
                      <w:rFonts w:eastAsia="Times New Roman" w:cs="Arial"/>
                    </w:rPr>
                    <w:t xml:space="preserve"> </w:t>
                  </w:r>
                  <w:r w:rsidR="00156DDD">
                    <w:rPr>
                      <w:rFonts w:eastAsia="Times New Roman" w:cs="Arial"/>
                    </w:rPr>
                    <w:t>рабочих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срок не устанавливается и </w:t>
                  </w:r>
                  <w:r w:rsidR="00A5012F" w:rsidRPr="009A67E5">
                    <w:rPr>
                      <w:rFonts w:eastAsia="Times New Roman" w:cs="Arial"/>
                    </w:rPr>
                    <w:lastRenderedPageBreak/>
                    <w:t xml:space="preserve">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156DDD">
                  <w:pPr>
                    <w:contextualSpacing/>
                  </w:pPr>
                  <w:r w:rsidRPr="009A67E5">
                    <w:rPr>
                      <w:rFonts w:eastAsia="Times New Roman" w:cs="Arial"/>
                      <w:lang w:val="en-US"/>
                    </w:rPr>
                    <w:t>min</w:t>
                  </w:r>
                  <w:r w:rsidRPr="009A67E5">
                    <w:rPr>
                      <w:rFonts w:eastAsia="Times New Roman" w:cs="Arial"/>
                    </w:rPr>
                    <w:t xml:space="preserve"> срок: </w:t>
                  </w:r>
                  <w:r w:rsidR="00156DDD">
                    <w:rPr>
                      <w:rFonts w:eastAsia="Times New Roman" w:cs="Arial"/>
                    </w:rPr>
                    <w:t>12 месяцев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9433B8"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9433B8"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9433B8"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EF09B2" w:rsidRDefault="005B0351" w:rsidP="00EF09B2">
            <w:proofErr w:type="spellStart"/>
            <w:r>
              <w:rPr>
                <w:rFonts w:eastAsia="Times New Roman"/>
                <w:lang w:val="en-US"/>
              </w:rPr>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w:t>
            </w:r>
            <w:r w:rsidR="00EF09B2">
              <w:rPr>
                <w:rFonts w:eastAsia="Times New Roman"/>
              </w:rPr>
              <w:lastRenderedPageBreak/>
              <w:t>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364A61" w:rsidRPr="00326D66" w:rsidRDefault="00364A61" w:rsidP="00364A61">
            <w:pPr>
              <w:rPr>
                <w:rFonts w:eastAsia="Times New Roman"/>
              </w:rPr>
            </w:pPr>
          </w:p>
          <w:p w:rsidR="00BF581E" w:rsidRPr="00DA4FDC" w:rsidRDefault="009433B8"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w:t>
            </w:r>
            <w:proofErr w:type="spellStart"/>
            <w:r w:rsidR="00BF581E">
              <w:rPr>
                <w:rFonts w:eastAsia="Times New Roman"/>
                <w:lang w:val="en-US"/>
              </w:rPr>
              <w:t>K</w:t>
            </w:r>
            <w:r w:rsidR="00BF581E">
              <w:rPr>
                <w:rFonts w:eastAsia="Times New Roman"/>
                <w:vertAlign w:val="subscript"/>
                <w:lang w:val="en-US"/>
              </w:rPr>
              <w:t>z</w:t>
            </w:r>
            <w:proofErr w:type="spellEnd"/>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5" w:name="_Ref368314453"/>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6" w:name="_Ref377141801"/>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 xml:space="preserve">Размер обеспечения исполнения договора, </w:t>
            </w:r>
            <w:r w:rsidRPr="001F4D93">
              <w:lastRenderedPageBreak/>
              <w:t>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lastRenderedPageBreak/>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7" w:name="_Ref378853535"/>
            <w:bookmarkEnd w:id="17"/>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8" w:name="_Ref528845966"/>
            <w:bookmarkEnd w:id="18"/>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45"/>
            <w:bookmarkEnd w:id="19"/>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0" w:name="_Ref368316022"/>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4239F3">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4239F3">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proofErr w:type="gramStart"/>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roofErr w:type="gramEnd"/>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156DDD"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004E53AD" w:rsidRPr="00CA6061">
              <w:rPr>
                <w:rFonts w:eastAsia="Arial" w:cs="Mang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1"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1"/>
    </w:p>
    <w:p w:rsidR="00C03E71" w:rsidRDefault="00C03E71">
      <w:pPr>
        <w:keepNext/>
        <w:spacing w:before="60" w:after="60"/>
        <w:ind w:left="788" w:hanging="357"/>
        <w:rPr>
          <w:rFonts w:eastAsia="MS Mincho"/>
          <w:b/>
          <w:bCs/>
          <w:color w:val="548DD4"/>
          <w:kern w:val="1"/>
          <w:sz w:val="28"/>
        </w:rPr>
      </w:pPr>
      <w:bookmarkStart w:id="22" w:name="_%D0%A4%D0%BE%D1%80%D0%BC%D0%B0_1_%D0%97"/>
      <w:bookmarkEnd w:id="22"/>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156DDD">
        <w:rPr>
          <w:rFonts w:eastAsia="Times New Roman"/>
          <w:i/>
          <w:sz w:val="20"/>
          <w:szCs w:val="20"/>
        </w:rPr>
        <w:t>, 1.2, 1.3, 1.4</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156DDD">
        <w:rPr>
          <w:rFonts w:eastAsia="Times New Roman"/>
          <w:i/>
          <w:sz w:val="20"/>
          <w:szCs w:val="20"/>
        </w:rPr>
        <w:t>, 2.4, 2.5, 2.6, 2.7, 2.8, 2.9</w:t>
      </w:r>
      <w:r w:rsidR="00743E72" w:rsidRPr="00743E72">
        <w:rPr>
          <w:rFonts w:eastAsia="Times New Roman"/>
          <w:i/>
          <w:sz w:val="20"/>
          <w:szCs w:val="20"/>
        </w:rPr>
        <w:t>), п.3(3.1</w:t>
      </w:r>
      <w:r w:rsidR="00B11124">
        <w:rPr>
          <w:rFonts w:eastAsia="Times New Roman"/>
          <w:i/>
          <w:sz w:val="20"/>
          <w:szCs w:val="20"/>
        </w:rPr>
        <w:t>, 3.2, 3.3</w:t>
      </w:r>
      <w:r w:rsidR="009A67E5">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w:t>
      </w:r>
      <w:r w:rsidR="00156DDD" w:rsidRPr="00156DDD">
        <w:rPr>
          <w:rFonts w:eastAsia="Times New Roman"/>
          <w:i/>
          <w:color w:val="C00000"/>
          <w:sz w:val="20"/>
          <w:szCs w:val="20"/>
        </w:rPr>
        <w:t>(1.1, 1.2, 1.3, 1.4), п. 2(2.1, 2.2, 2.3, 2.4, 2.5, 2.6, 2.7, 2.8, 2.9), п.3(3.1, 3.2, 3.3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156DDD" w:rsidRDefault="00156DDD">
      <w:pPr>
        <w:keepNext/>
        <w:spacing w:before="60" w:after="60"/>
        <w:ind w:left="788" w:hanging="357"/>
        <w:jc w:val="center"/>
        <w:rPr>
          <w:rFonts w:eastAsia="MS Mincho"/>
          <w:b/>
          <w:bCs/>
          <w:color w:val="548DD4"/>
          <w:kern w:val="1"/>
          <w:sz w:val="28"/>
        </w:rPr>
      </w:pPr>
    </w:p>
    <w:p w:rsidR="00C03E71" w:rsidRDefault="00C03E71">
      <w:pPr>
        <w:keepNext/>
        <w:spacing w:before="60" w:after="60"/>
        <w:ind w:left="788" w:hanging="357"/>
        <w:jc w:val="center"/>
      </w:pPr>
      <w:r>
        <w:rPr>
          <w:rFonts w:eastAsia="MS Mincho"/>
          <w:b/>
          <w:bCs/>
          <w:color w:val="548DD4"/>
          <w:kern w:val="1"/>
          <w:sz w:val="28"/>
        </w:rPr>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3" w:name="_%D0%97%D0%B0%D1%8F%D0%B2%D0%BA%D0%B0_%D"/>
      <w:bookmarkStart w:id="24" w:name="_%D0%9F%D0%B8%D1%81%D1%8C%D0%BC%D0%BE_%D"/>
      <w:bookmarkEnd w:id="23"/>
      <w:bookmarkEnd w:id="24"/>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4239F3">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5" w:name="_%D0%A4%D0%BE%D1%80%D0%BC%D0%B0_2_%D0%90"/>
      <w:bookmarkEnd w:id="25"/>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6" w:name="_%D0%90%D0%BD%D0%BA%D0%B5%D1%82%D0%B0_%D"/>
      <w:bookmarkEnd w:id="26"/>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7" w:name="_%D0%A4%D0%BE%D1%80%D0%BC%D0%B0_3_%D0%A2"/>
      <w:bookmarkStart w:id="28" w:name="_Ref313304436"/>
      <w:bookmarkStart w:id="29" w:name="_%D0%A4%D0%BE%D1%80%D0%BC%D0%B0_4_%D0%A0"/>
      <w:bookmarkEnd w:id="27"/>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8"/>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0" w:name="_%D0%A4%D0%BE%D1%80%D0%BC%D0%B0_6_%D0%94"/>
      <w:bookmarkStart w:id="31" w:name="_%D0%A4%D0%BE%D1%80%D0%BC%D0%B0_5_%D0%A4"/>
      <w:bookmarkStart w:id="32" w:name="_%D0%A4%D0%BE%D1%80%D0%BC%D0%B0_5_%D0%A1"/>
      <w:bookmarkEnd w:id="30"/>
      <w:bookmarkEnd w:id="31"/>
      <w:bookmarkEnd w:id="32"/>
    </w:p>
    <w:p w:rsidR="00C03E71" w:rsidRDefault="00C03E71">
      <w:pPr>
        <w:keepNext/>
        <w:spacing w:before="60" w:after="60"/>
        <w:ind w:left="788" w:hanging="357"/>
        <w:jc w:val="center"/>
      </w:pPr>
      <w:bookmarkStart w:id="33" w:name="_%D0%A0%D0%90%D0%97%D0%94%D0%95%D0%9B_IV"/>
      <w:bookmarkStart w:id="34" w:name="_%D0%A4%D0%BE%D1%80%D0%BC%D0%B0_7_%D0%9F"/>
      <w:bookmarkEnd w:id="33"/>
      <w:bookmarkEnd w:id="34"/>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4239F3">
              <w:rPr>
                <w:rFonts w:eastAsia="Times New Roman"/>
                <w:iCs/>
                <w:color w:val="000000"/>
                <w:sz w:val="20"/>
                <w:szCs w:val="20"/>
              </w:rPr>
              <w:t>товара</w:t>
            </w:r>
            <w:bookmarkStart w:id="35" w:name="_GoBack"/>
            <w:bookmarkEnd w:id="35"/>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29"/>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3B8" w:rsidRDefault="009433B8">
      <w:r>
        <w:separator/>
      </w:r>
    </w:p>
  </w:endnote>
  <w:endnote w:type="continuationSeparator" w:id="0">
    <w:p w:rsidR="009433B8" w:rsidRDefault="00943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9AA" w:rsidRDefault="000019AA" w:rsidP="00B80539">
    <w:pPr>
      <w:pStyle w:val="af3"/>
      <w:jc w:val="right"/>
    </w:pPr>
    <w:r>
      <w:fldChar w:fldCharType="begin"/>
    </w:r>
    <w:r>
      <w:instrText xml:space="preserve"> PAGE </w:instrText>
    </w:r>
    <w:r>
      <w:fldChar w:fldCharType="separate"/>
    </w:r>
    <w:r w:rsidR="004239F3">
      <w:rPr>
        <w:noProof/>
      </w:rPr>
      <w:t>41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3B8" w:rsidRDefault="009433B8">
      <w:r>
        <w:separator/>
      </w:r>
    </w:p>
  </w:footnote>
  <w:footnote w:type="continuationSeparator" w:id="0">
    <w:p w:rsidR="009433B8" w:rsidRDefault="009433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019AA"/>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56DDD"/>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972EE"/>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2AA5"/>
    <w:rsid w:val="003775D7"/>
    <w:rsid w:val="003860F5"/>
    <w:rsid w:val="0038666F"/>
    <w:rsid w:val="003916D7"/>
    <w:rsid w:val="003926F4"/>
    <w:rsid w:val="00393584"/>
    <w:rsid w:val="00396A5F"/>
    <w:rsid w:val="003A3161"/>
    <w:rsid w:val="003A36D5"/>
    <w:rsid w:val="003A4290"/>
    <w:rsid w:val="0040306F"/>
    <w:rsid w:val="004239F3"/>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C5E57"/>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3411"/>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3B8"/>
    <w:rsid w:val="00943550"/>
    <w:rsid w:val="00943F3B"/>
    <w:rsid w:val="00953E5D"/>
    <w:rsid w:val="00960B13"/>
    <w:rsid w:val="00962BE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B22"/>
    <w:rsid w:val="00AD6C8D"/>
    <w:rsid w:val="00AD72F2"/>
    <w:rsid w:val="00AD7E65"/>
    <w:rsid w:val="00AF013E"/>
    <w:rsid w:val="00B11124"/>
    <w:rsid w:val="00B228AA"/>
    <w:rsid w:val="00B2313D"/>
    <w:rsid w:val="00B3767D"/>
    <w:rsid w:val="00B440BC"/>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A2134-4FDD-4851-8DE3-9060DA005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11888</Words>
  <Characters>67767</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79497</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3</cp:revision>
  <cp:lastPrinted>2024-03-22T05:47:00Z</cp:lastPrinted>
  <dcterms:created xsi:type="dcterms:W3CDTF">2024-03-20T10:19:00Z</dcterms:created>
  <dcterms:modified xsi:type="dcterms:W3CDTF">2024-03-22T05:48:00Z</dcterms:modified>
</cp:coreProperties>
</file>