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F062D5">
            <w:pPr>
              <w:widowControl w:val="0"/>
              <w:suppressAutoHyphens/>
              <w:autoSpaceDE w:val="0"/>
              <w:rPr>
                <w:b/>
                <w:lang w:eastAsia="zh-CN"/>
              </w:rPr>
            </w:pP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256D0B"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r w:rsidR="008026FF">
              <w:rPr>
                <w:b/>
                <w:lang w:eastAsia="zh-CN"/>
              </w:rPr>
              <w:t xml:space="preserve"> </w:t>
            </w:r>
            <w:r w:rsidR="00921E1F"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Default="0027263A" w:rsidP="00921E1F">
            <w:pPr>
              <w:widowControl w:val="0"/>
              <w:suppressAutoHyphens/>
              <w:autoSpaceDE w:val="0"/>
              <w:rPr>
                <w:b/>
                <w:lang w:eastAsia="zh-CN"/>
              </w:rPr>
            </w:pPr>
          </w:p>
          <w:p w:rsidR="008026FF" w:rsidRPr="00921E1F" w:rsidRDefault="008026F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56D0B">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1952">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AA6202" w:rsidRDefault="00251A32" w:rsidP="00251A32">
      <w:pPr>
        <w:jc w:val="center"/>
      </w:pPr>
      <w:r w:rsidRPr="00251A32">
        <w:rPr>
          <w:rFonts w:cs="Mangal"/>
          <w:b/>
          <w:kern w:val="1"/>
          <w:sz w:val="28"/>
          <w:szCs w:val="28"/>
          <w:lang w:eastAsia="zh-CN" w:bidi="hi-IN"/>
        </w:rPr>
        <w:t xml:space="preserve">на поставку </w:t>
      </w:r>
      <w:proofErr w:type="gramStart"/>
      <w:r w:rsidR="00CE132C">
        <w:rPr>
          <w:b/>
          <w:sz w:val="28"/>
          <w:szCs w:val="28"/>
        </w:rPr>
        <w:t>комплектующих</w:t>
      </w:r>
      <w:proofErr w:type="gramEnd"/>
      <w:r w:rsidR="00CE132C">
        <w:rPr>
          <w:b/>
          <w:sz w:val="28"/>
          <w:szCs w:val="28"/>
        </w:rPr>
        <w:t xml:space="preserve"> для дымохода  </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CE132C" w:rsidRDefault="00CE132C" w:rsidP="00C919B0"/>
    <w:p w:rsidR="00DE658E" w:rsidRPr="00117BE5" w:rsidRDefault="00DE658E" w:rsidP="00DE658E">
      <w:pPr>
        <w:jc w:val="right"/>
        <w:rPr>
          <w:b/>
        </w:rPr>
      </w:pPr>
      <w:r>
        <w:rPr>
          <w:b/>
        </w:rPr>
        <w:t>С</w:t>
      </w:r>
      <w:r w:rsidRPr="00117BE5">
        <w:rPr>
          <w:b/>
        </w:rPr>
        <w:t>оставил:</w:t>
      </w:r>
    </w:p>
    <w:p w:rsidR="00DE658E" w:rsidRDefault="00CE132C" w:rsidP="00DE658E">
      <w:pPr>
        <w:jc w:val="right"/>
      </w:pPr>
      <w:r>
        <w:t>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rsidR="00CE132C">
        <w:t>Ю.С. Ушакова</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2B1952">
        <w:t>4</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1952">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5951D9">
            <w:pPr>
              <w:widowControl w:val="0"/>
              <w:suppressAutoHyphens/>
              <w:autoSpaceDE w:val="0"/>
              <w:jc w:val="center"/>
              <w:rPr>
                <w:lang w:eastAsia="zh-CN"/>
              </w:rPr>
            </w:pPr>
            <w:r>
              <w:rPr>
                <w:lang w:eastAsia="zh-CN"/>
              </w:rPr>
              <w:t>3</w:t>
            </w:r>
            <w:r w:rsidR="00EE0AA0">
              <w:rPr>
                <w:lang w:eastAsia="zh-CN"/>
              </w:rPr>
              <w:t>5</w:t>
            </w:r>
            <w:r>
              <w:rPr>
                <w:lang w:eastAsia="zh-CN"/>
              </w:rPr>
              <w:t>-</w:t>
            </w:r>
            <w:r w:rsidR="003E16F0">
              <w:rPr>
                <w:lang w:eastAsia="zh-CN"/>
              </w:rPr>
              <w:t>4</w:t>
            </w:r>
            <w:r w:rsidR="005951D9">
              <w:rPr>
                <w:lang w:eastAsia="zh-CN"/>
              </w:rPr>
              <w:t>2</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BA3CAB" w:rsidRDefault="00BA3CAB" w:rsidP="00BA3CAB">
            <w:pPr>
              <w:widowControl w:val="0"/>
              <w:suppressAutoHyphens/>
              <w:autoSpaceDE w:val="0"/>
              <w:jc w:val="center"/>
              <w:rPr>
                <w:lang w:eastAsia="zh-CN"/>
              </w:rPr>
            </w:pPr>
          </w:p>
          <w:p w:rsidR="004C272A" w:rsidRPr="00B02412" w:rsidRDefault="006753F0" w:rsidP="005951D9">
            <w:pPr>
              <w:widowControl w:val="0"/>
              <w:suppressAutoHyphens/>
              <w:autoSpaceDE w:val="0"/>
              <w:jc w:val="center"/>
              <w:rPr>
                <w:lang w:eastAsia="zh-CN"/>
              </w:rPr>
            </w:pPr>
            <w:r>
              <w:rPr>
                <w:lang w:eastAsia="zh-CN"/>
              </w:rPr>
              <w:t>4</w:t>
            </w:r>
            <w:r w:rsidR="005951D9">
              <w:rPr>
                <w:lang w:eastAsia="zh-CN"/>
              </w:rPr>
              <w:t>3</w:t>
            </w:r>
            <w:r w:rsidR="003E16F0">
              <w:rPr>
                <w:lang w:eastAsia="zh-CN"/>
              </w:rPr>
              <w:t>-5</w:t>
            </w:r>
            <w:r w:rsidR="005951D9">
              <w:rPr>
                <w:lang w:eastAsia="zh-CN"/>
              </w:rPr>
              <w:t>2</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3E16F0" w:rsidP="005951D9">
            <w:pPr>
              <w:widowControl w:val="0"/>
              <w:suppressAutoHyphens/>
              <w:autoSpaceDE w:val="0"/>
              <w:jc w:val="center"/>
              <w:rPr>
                <w:lang w:eastAsia="zh-CN"/>
              </w:rPr>
            </w:pPr>
            <w:r>
              <w:rPr>
                <w:lang w:eastAsia="zh-CN"/>
              </w:rPr>
              <w:t>5</w:t>
            </w:r>
            <w:r w:rsidR="005951D9">
              <w:rPr>
                <w:lang w:eastAsia="zh-CN"/>
              </w:rPr>
              <w:t>3</w:t>
            </w:r>
            <w:r w:rsidR="006753F0">
              <w:rPr>
                <w:lang w:eastAsia="zh-CN"/>
              </w:rPr>
              <w:t>-</w:t>
            </w:r>
            <w:r w:rsidR="005951D9">
              <w:rPr>
                <w:lang w:eastAsia="zh-CN"/>
              </w:rPr>
              <w:t>58</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bookmarkStart w:id="0" w:name="_GoBack"/>
      <w:bookmarkEnd w:id="0"/>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proofErr w:type="gramStart"/>
            <w:r w:rsidRPr="00055AC1">
              <w:t>об</w:t>
            </w:r>
            <w:proofErr w:type="gramEnd"/>
            <w:r w:rsidRPr="00055AC1">
              <w:t xml:space="preserve">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12249B"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CE132C">
              <w:rPr>
                <w:bCs/>
              </w:rPr>
              <w:t>Н</w:t>
            </w:r>
            <w:r w:rsidRPr="00C467E9">
              <w:rPr>
                <w:bCs/>
              </w:rPr>
              <w:t xml:space="preserve">ачальник отдела снабжения АО «УТС» </w:t>
            </w:r>
            <w:proofErr w:type="spellStart"/>
            <w:r w:rsidR="00CE132C">
              <w:rPr>
                <w:bCs/>
              </w:rPr>
              <w:t>Корепанов</w:t>
            </w:r>
            <w:proofErr w:type="spellEnd"/>
            <w:r w:rsidR="00CE132C">
              <w:rPr>
                <w:bCs/>
              </w:rPr>
              <w:t xml:space="preserve"> Дмитрий Александрович</w:t>
            </w:r>
            <w:r w:rsidRPr="00C467E9">
              <w:rPr>
                <w:bCs/>
              </w:rPr>
              <w:t xml:space="preserve"> тел. (3467) 32-69-89.</w:t>
            </w:r>
          </w:p>
          <w:p w:rsidR="00B0492F" w:rsidRPr="009C6E7C" w:rsidRDefault="00C467E9" w:rsidP="00C143D5">
            <w:pPr>
              <w:pStyle w:val="Default"/>
              <w:jc w:val="both"/>
            </w:pPr>
            <w:r w:rsidRPr="00801601">
              <w:rPr>
                <w:bCs/>
              </w:rPr>
              <w:t xml:space="preserve">Ответственное лицо по техническим вопросам: </w:t>
            </w:r>
            <w:r w:rsidR="00C143D5" w:rsidRPr="00071FB8">
              <w:rPr>
                <w:bCs/>
              </w:rPr>
              <w:t xml:space="preserve">- </w:t>
            </w:r>
            <w:r w:rsidR="00C143D5">
              <w:rPr>
                <w:bCs/>
              </w:rPr>
              <w:t>Заместитель н</w:t>
            </w:r>
            <w:r w:rsidR="00C143D5" w:rsidRPr="00704811">
              <w:t>ачальник</w:t>
            </w:r>
            <w:r w:rsidR="00C143D5">
              <w:t>а</w:t>
            </w:r>
            <w:r w:rsidR="00C143D5" w:rsidRPr="00704811">
              <w:t xml:space="preserve"> </w:t>
            </w:r>
            <w:r w:rsidR="00C143D5">
              <w:t xml:space="preserve">отдела СЭКУ и ГО </w:t>
            </w:r>
            <w:proofErr w:type="spellStart"/>
            <w:r w:rsidR="00C143D5">
              <w:t>Калетник</w:t>
            </w:r>
            <w:proofErr w:type="spellEnd"/>
            <w:r w:rsidR="00C143D5">
              <w:t xml:space="preserve"> Вадим Геннадьевич тел. 8-902-814-54</w:t>
            </w:r>
            <w:r w:rsidR="00C143D5" w:rsidRPr="00704811">
              <w:t>-</w:t>
            </w:r>
            <w:r w:rsidR="00C143D5">
              <w:t>37</w:t>
            </w:r>
            <w:r w:rsidR="00C143D5"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proofErr w:type="gramStart"/>
            <w:r w:rsidR="00CA3EFE" w:rsidRPr="00CA3EFE">
              <w:rPr>
                <w:b/>
                <w:bCs/>
                <w:u w:val="single"/>
              </w:rPr>
              <w:t>участниками</w:t>
            </w:r>
            <w:proofErr w:type="gramEnd"/>
            <w:r w:rsidR="00CA3EFE" w:rsidRPr="00CA3EFE">
              <w:rPr>
                <w:b/>
                <w:bCs/>
                <w:u w:val="single"/>
              </w:rPr>
              <w:t xml:space="preserve">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w:t>
            </w:r>
            <w:proofErr w:type="gramStart"/>
            <w:r w:rsidRPr="00EC45B9">
              <w:t>ЕИС</w:t>
            </w:r>
            <w:proofErr w:type="gramEnd"/>
            <w:r w:rsidRPr="00EC45B9">
              <w:t xml:space="preserve">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proofErr w:type="gramStart"/>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w:t>
            </w:r>
            <w:proofErr w:type="gramEnd"/>
            <w:r w:rsidRPr="00C15EAD">
              <w:rPr>
                <w:bCs/>
              </w:rPr>
              <w:t xml:space="preserve"> </w:t>
            </w:r>
            <w:proofErr w:type="gramStart"/>
            <w:r w:rsidRPr="00C15EAD">
              <w:rPr>
                <w:bCs/>
              </w:rPr>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proofErr w:type="gramEnd"/>
            <w:r w:rsidRPr="00463A49">
              <w:rPr>
                <w:bCs/>
              </w:rPr>
              <w:t>)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proofErr w:type="gramStart"/>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63A49">
              <w:rPr>
                <w:bCs/>
              </w:rPr>
              <w:t xml:space="preserve">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 xml:space="preserve">а) закупка признана </w:t>
            </w:r>
            <w:proofErr w:type="gramStart"/>
            <w:r w:rsidRPr="000D5018">
              <w:rPr>
                <w:bCs/>
              </w:rPr>
              <w:t>несостоявшейся</w:t>
            </w:r>
            <w:proofErr w:type="gramEnd"/>
            <w:r w:rsidRPr="000D5018">
              <w:rPr>
                <w:bCs/>
              </w:rPr>
              <w:t xml:space="preserve">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proofErr w:type="gramStart"/>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C61DE">
              <w:rPr>
                <w:bCs/>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proofErr w:type="gramStart"/>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DC61DE">
              <w:rPr>
                <w:bCs/>
              </w:rPr>
              <w:t>,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proofErr w:type="gramStart"/>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roofErr w:type="gramEnd"/>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CE132C">
            <w:r w:rsidRPr="00071FB8">
              <w:t>«</w:t>
            </w:r>
            <w:r w:rsidR="00CE132C">
              <w:t>20</w:t>
            </w:r>
            <w:r w:rsidR="00572570" w:rsidRPr="00071FB8">
              <w:t>»</w:t>
            </w:r>
            <w:r w:rsidR="001D190A" w:rsidRPr="00071FB8">
              <w:t xml:space="preserve"> </w:t>
            </w:r>
            <w:r w:rsidR="00CE132C">
              <w:t>августа</w:t>
            </w:r>
            <w:r w:rsidRPr="00071FB8">
              <w:t xml:space="preserve"> 20</w:t>
            </w:r>
            <w:r w:rsidR="001F23B4" w:rsidRPr="00071FB8">
              <w:t>2</w:t>
            </w:r>
            <w:r w:rsidR="002B1952">
              <w:t>4</w:t>
            </w:r>
            <w:r w:rsidRPr="00071FB8">
              <w:t xml:space="preserve"> года</w:t>
            </w:r>
          </w:p>
        </w:tc>
      </w:tr>
      <w:tr w:rsidR="00C919B0" w:rsidRPr="005C24A0" w:rsidTr="00076D92">
        <w:trPr>
          <w:trHeight w:val="1702"/>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433C6D">
              <w:t>27</w:t>
            </w:r>
            <w:r w:rsidRPr="00071FB8">
              <w:t xml:space="preserve">» </w:t>
            </w:r>
            <w:r w:rsidR="00433C6D">
              <w:t>августа</w:t>
            </w:r>
            <w:r w:rsidR="000D39CD" w:rsidRPr="00071FB8">
              <w:t xml:space="preserve"> </w:t>
            </w:r>
            <w:r w:rsidRPr="00071FB8">
              <w:t>20</w:t>
            </w:r>
            <w:r w:rsidR="001F23B4" w:rsidRPr="00071FB8">
              <w:t>2</w:t>
            </w:r>
            <w:r w:rsidR="002B1952">
              <w:t>4</w:t>
            </w:r>
            <w:r w:rsidRPr="00071FB8">
              <w:t xml:space="preserve"> года </w:t>
            </w:r>
            <w:r w:rsidR="00251A32">
              <w:t>09</w:t>
            </w:r>
            <w:r w:rsidRPr="00071FB8">
              <w:t>:</w:t>
            </w:r>
            <w:r w:rsidR="00076D92">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433C6D">
              <w:t>27</w:t>
            </w:r>
            <w:r w:rsidRPr="00071FB8">
              <w:t>»</w:t>
            </w:r>
            <w:r w:rsidR="008A1E96" w:rsidRPr="00071FB8">
              <w:t xml:space="preserve"> </w:t>
            </w:r>
            <w:r w:rsidR="00433C6D">
              <w:t>августа</w:t>
            </w:r>
            <w:r w:rsidR="00871084" w:rsidRPr="00071FB8">
              <w:t xml:space="preserve"> </w:t>
            </w:r>
            <w:r w:rsidRPr="00071FB8">
              <w:t>20</w:t>
            </w:r>
            <w:r w:rsidR="001F23B4" w:rsidRPr="00071FB8">
              <w:t>2</w:t>
            </w:r>
            <w:r w:rsidR="002B1952">
              <w:t>4</w:t>
            </w:r>
            <w:r w:rsidR="004402C9" w:rsidRPr="00071FB8">
              <w:t xml:space="preserve"> </w:t>
            </w:r>
            <w:r w:rsidRPr="00071FB8">
              <w:t>года</w:t>
            </w:r>
            <w:r w:rsidR="004402C9" w:rsidRPr="00071FB8">
              <w:t xml:space="preserve"> </w:t>
            </w:r>
            <w:r w:rsidR="00251A32">
              <w:t>09</w:t>
            </w:r>
            <w:r w:rsidR="004402C9" w:rsidRPr="00071FB8">
              <w:t>:</w:t>
            </w:r>
            <w:r w:rsidR="00076D92">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433C6D">
              <w:t>28</w:t>
            </w:r>
            <w:r w:rsidR="00C919B0" w:rsidRPr="002B6C41">
              <w:t xml:space="preserve">» </w:t>
            </w:r>
            <w:r w:rsidR="00433C6D">
              <w:t>августа</w:t>
            </w:r>
            <w:r w:rsidR="00322429" w:rsidRPr="002B6C41">
              <w:t xml:space="preserve"> </w:t>
            </w:r>
            <w:r w:rsidR="00C919B0" w:rsidRPr="002B6C41">
              <w:t>20</w:t>
            </w:r>
            <w:r w:rsidR="001F23B4" w:rsidRPr="002B6C41">
              <w:t>2</w:t>
            </w:r>
            <w:r w:rsidR="002B1952">
              <w:t>4</w:t>
            </w:r>
            <w:r w:rsidR="00C919B0" w:rsidRPr="002B6C41">
              <w:t xml:space="preserve"> года</w:t>
            </w:r>
            <w:r w:rsidR="00322429" w:rsidRPr="002B6C41">
              <w:t xml:space="preserve"> </w:t>
            </w:r>
            <w:r w:rsidR="00251A32">
              <w:t>09</w:t>
            </w:r>
            <w:r w:rsidR="00322429" w:rsidRPr="002B6C41">
              <w:t>:</w:t>
            </w:r>
            <w:r w:rsidR="00076D92">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 xml:space="preserve">В течение трех рабочих дней </w:t>
            </w:r>
            <w:proofErr w:type="gramStart"/>
            <w:r w:rsidRPr="00E9043A">
              <w:rPr>
                <w:bCs/>
                <w:szCs w:val="22"/>
              </w:rPr>
              <w:t>с даты поступлен</w:t>
            </w:r>
            <w:r w:rsidR="00531E16">
              <w:rPr>
                <w:bCs/>
                <w:szCs w:val="22"/>
              </w:rPr>
              <w:t>ия</w:t>
            </w:r>
            <w:proofErr w:type="gramEnd"/>
            <w:r w:rsidR="00531E16">
              <w:rPr>
                <w:bCs/>
                <w:szCs w:val="22"/>
              </w:rPr>
              <w:t xml:space="preserve">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 xml:space="preserve">Заказчик вправе не осуществлять такое разъяснение в случае, если указанный запрос поступил </w:t>
            </w:r>
            <w:proofErr w:type="gramStart"/>
            <w:r w:rsidRPr="00E9043A">
              <w:rPr>
                <w:bCs/>
                <w:szCs w:val="22"/>
              </w:rPr>
              <w:t>позднее</w:t>
            </w:r>
            <w:proofErr w:type="gramEnd"/>
            <w:r w:rsidRPr="00E9043A">
              <w:rPr>
                <w:bCs/>
                <w:szCs w:val="22"/>
              </w:rPr>
              <w:t xml:space="preserve">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433C6D">
              <w:rPr>
                <w:b/>
              </w:rPr>
              <w:t>27</w:t>
            </w:r>
            <w:r w:rsidRPr="00071FB8">
              <w:rPr>
                <w:b/>
              </w:rPr>
              <w:t xml:space="preserve">» </w:t>
            </w:r>
            <w:r w:rsidR="00433C6D">
              <w:rPr>
                <w:b/>
              </w:rPr>
              <w:t>августа</w:t>
            </w:r>
            <w:r w:rsidR="00807D0F" w:rsidRPr="00071FB8">
              <w:rPr>
                <w:b/>
              </w:rPr>
              <w:t xml:space="preserve"> 20</w:t>
            </w:r>
            <w:r w:rsidR="001F23B4" w:rsidRPr="00071FB8">
              <w:rPr>
                <w:b/>
              </w:rPr>
              <w:t>2</w:t>
            </w:r>
            <w:r w:rsidR="002B1952">
              <w:rPr>
                <w:b/>
              </w:rPr>
              <w:t>4</w:t>
            </w:r>
            <w:r w:rsidRPr="00071FB8">
              <w:rPr>
                <w:b/>
              </w:rPr>
              <w:t xml:space="preserve"> года</w:t>
            </w:r>
            <w:r w:rsidR="00B74F75" w:rsidRPr="00071FB8">
              <w:rPr>
                <w:b/>
              </w:rPr>
              <w:t xml:space="preserve"> </w:t>
            </w:r>
            <w:r w:rsidR="00251A32">
              <w:rPr>
                <w:b/>
              </w:rPr>
              <w:t>09</w:t>
            </w:r>
            <w:r w:rsidR="00B74F75" w:rsidRPr="00071FB8">
              <w:rPr>
                <w:b/>
              </w:rPr>
              <w:t>:</w:t>
            </w:r>
            <w:r w:rsidR="00076D92">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xml:space="preserve">, </w:t>
            </w:r>
            <w:r>
              <w:lastRenderedPageBreak/>
              <w:t>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251A32" w:rsidRPr="00251A32">
              <w:rPr>
                <w:b/>
                <w:bCs/>
                <w:iCs/>
                <w:u w:val="single"/>
              </w:rPr>
              <w:t xml:space="preserve">на поставку </w:t>
            </w:r>
            <w:r w:rsidR="00433C6D" w:rsidRPr="00433C6D">
              <w:rPr>
                <w:b/>
                <w:u w:val="single"/>
              </w:rPr>
              <w:t>комплектующих для дымохода</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251A32">
              <w:rPr>
                <w:b/>
                <w:bCs/>
                <w:iCs/>
                <w:u w:val="single"/>
              </w:rPr>
              <w:t>П</w:t>
            </w:r>
            <w:r w:rsidR="00251A32" w:rsidRPr="00251A32">
              <w:rPr>
                <w:b/>
                <w:bCs/>
                <w:iCs/>
                <w:u w:val="single"/>
              </w:rPr>
              <w:t>оставк</w:t>
            </w:r>
            <w:r w:rsidR="00251A32">
              <w:rPr>
                <w:b/>
                <w:bCs/>
                <w:iCs/>
                <w:u w:val="single"/>
              </w:rPr>
              <w:t>а</w:t>
            </w:r>
            <w:r w:rsidR="00251A32" w:rsidRPr="00251A32">
              <w:rPr>
                <w:b/>
                <w:bCs/>
                <w:iCs/>
                <w:u w:val="single"/>
              </w:rPr>
              <w:t xml:space="preserve"> </w:t>
            </w:r>
            <w:proofErr w:type="gramStart"/>
            <w:r w:rsidR="00433C6D" w:rsidRPr="00433C6D">
              <w:rPr>
                <w:b/>
                <w:u w:val="single"/>
              </w:rPr>
              <w:t>комплектующих</w:t>
            </w:r>
            <w:proofErr w:type="gramEnd"/>
            <w:r w:rsidR="00433C6D" w:rsidRPr="00433C6D">
              <w:rPr>
                <w:b/>
                <w:u w:val="single"/>
              </w:rPr>
              <w:t xml:space="preserve"> для дымохода</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proofErr w:type="gramStart"/>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w:t>
            </w:r>
            <w:r w:rsidR="00690797" w:rsidRPr="002B6C41">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2B6C41">
              <w:t xml:space="preserve"> </w:t>
            </w:r>
            <w:proofErr w:type="gramStart"/>
            <w:r w:rsidR="00690797" w:rsidRPr="002B6C41">
              <w:t xml:space="preserve">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w:t>
            </w:r>
            <w:r w:rsidR="00690797" w:rsidRPr="002B6C41">
              <w:lastRenderedPageBreak/>
              <w:t xml:space="preserve">свойствам) товара, работы, </w:t>
            </w:r>
            <w:r w:rsidR="00AF6109" w:rsidRPr="002B6C41">
              <w:t>услуги, к размерам, упаковке, отгрузке товара, к результатам работы, в извещении о проведении запроса</w:t>
            </w:r>
            <w:proofErr w:type="gramEnd"/>
            <w:r w:rsidR="00AF6109" w:rsidRPr="002B6C41">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433C6D">
              <w:rPr>
                <w:b/>
                <w:bCs/>
                <w:u w:val="single"/>
              </w:rPr>
              <w:t>466 995</w:t>
            </w:r>
            <w:r w:rsidR="003E650A">
              <w:rPr>
                <w:b/>
                <w:bCs/>
                <w:u w:val="single"/>
              </w:rPr>
              <w:t xml:space="preserve"> </w:t>
            </w:r>
            <w:r w:rsidR="00453BB7" w:rsidRPr="00453BB7">
              <w:rPr>
                <w:b/>
                <w:bCs/>
                <w:u w:val="single"/>
              </w:rPr>
              <w:t>(</w:t>
            </w:r>
            <w:r w:rsidR="00433C6D">
              <w:rPr>
                <w:b/>
                <w:bCs/>
                <w:u w:val="single"/>
              </w:rPr>
              <w:t>четыреста шестьдесят шесть тысяч девятьсот девяносто пять</w:t>
            </w:r>
            <w:r w:rsidR="00F63712">
              <w:rPr>
                <w:b/>
                <w:bCs/>
                <w:u w:val="single"/>
              </w:rPr>
              <w:t>) рублей</w:t>
            </w:r>
            <w:r w:rsidR="004B7FD8">
              <w:rPr>
                <w:b/>
                <w:bCs/>
                <w:u w:val="single"/>
              </w:rPr>
              <w:t xml:space="preserve"> </w:t>
            </w:r>
            <w:r w:rsidR="00433C6D">
              <w:rPr>
                <w:b/>
                <w:bCs/>
                <w:u w:val="single"/>
              </w:rPr>
              <w:t>99</w:t>
            </w:r>
            <w:r w:rsidR="00453BB7" w:rsidRPr="00453BB7">
              <w:rPr>
                <w:b/>
                <w:bCs/>
                <w:u w:val="single"/>
              </w:rPr>
              <w:t xml:space="preserve"> копе</w:t>
            </w:r>
            <w:r w:rsidR="001C454D">
              <w:rPr>
                <w:b/>
                <w:bCs/>
                <w:u w:val="single"/>
              </w:rPr>
              <w:t>ек</w:t>
            </w:r>
            <w:r w:rsidR="00453BB7" w:rsidRPr="00453BB7">
              <w:rPr>
                <w:b/>
                <w:bCs/>
                <w:u w:val="single"/>
              </w:rPr>
              <w:t>.</w:t>
            </w:r>
          </w:p>
          <w:p w:rsidR="00B81CF7" w:rsidRDefault="00433C6D" w:rsidP="00B81CF7">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B81CF7"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w:t>
            </w:r>
            <w:r w:rsidRPr="00FA148C">
              <w:lastRenderedPageBreak/>
              <w:t>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proofErr w:type="gramStart"/>
                  <w:r w:rsidR="0030466A" w:rsidRPr="00FA148C">
                    <w:rPr>
                      <w:rFonts w:cs="Arial"/>
                      <w:color w:val="000000"/>
                    </w:rPr>
                    <w:t xml:space="preserve">Отсутствие у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30466A"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 xml:space="preserve">Декларируется Участником в тексте </w:t>
                  </w:r>
                  <w:r w:rsidRPr="00FA148C">
                    <w:rPr>
                      <w:color w:val="000000"/>
                    </w:rPr>
                    <w:lastRenderedPageBreak/>
                    <w:t>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proofErr w:type="gramStart"/>
                  <w:r w:rsidR="0030466A"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30466A" w:rsidRPr="00FA148C">
                    <w:rPr>
                      <w:rFonts w:cs="Arial"/>
                      <w:color w:val="000000"/>
                    </w:rPr>
                    <w:t xml:space="preserve"> в законную силу решение суда о признании обязанности </w:t>
                  </w:r>
                  <w:proofErr w:type="gramStart"/>
                  <w:r w:rsidR="0030466A" w:rsidRPr="00FA148C">
                    <w:rPr>
                      <w:rFonts w:cs="Arial"/>
                      <w:color w:val="000000"/>
                    </w:rPr>
                    <w:t>заявителя</w:t>
                  </w:r>
                  <w:proofErr w:type="gramEnd"/>
                  <w:r w:rsidR="0030466A"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0030466A" w:rsidRPr="00FA148C">
                    <w:rPr>
                      <w:rFonts w:cs="Arial"/>
                      <w:color w:val="000000"/>
                    </w:rPr>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 xml:space="preserve">Отсутствие фактов привлечения </w:t>
                  </w:r>
                  <w:proofErr w:type="gramStart"/>
                  <w:r w:rsidR="0030466A" w:rsidRPr="00FA148C">
                    <w:rPr>
                      <w:rFonts w:cs="Arial"/>
                      <w:color w:val="000000"/>
                    </w:rPr>
                    <w:t>в течение двух лет до момента подачи заявки на участие в конкурентной закупке с участием</w:t>
                  </w:r>
                  <w:proofErr w:type="gramEnd"/>
                  <w:r w:rsidR="0030466A"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proofErr w:type="gramStart"/>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30466A" w:rsidRPr="00FA148C">
                    <w:rPr>
                      <w:rFonts w:cs="Arial"/>
                      <w:color w:val="000000"/>
                    </w:rPr>
                    <w:t xml:space="preserve"> адреса сайта или страницы сайта в информационно-</w:t>
                  </w:r>
                  <w:r w:rsidR="0030466A" w:rsidRPr="00FA148C">
                    <w:rPr>
                      <w:rFonts w:cs="Arial"/>
                      <w:color w:val="000000"/>
                    </w:rPr>
                    <w:lastRenderedPageBreak/>
                    <w:t>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CF4E5A">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BA110F" w:rsidRDefault="00433C6D" w:rsidP="00624747">
            <w:pPr>
              <w:widowControl w:val="0"/>
              <w:suppressAutoHyphens/>
              <w:jc w:val="both"/>
            </w:pPr>
            <w:r w:rsidRPr="009E44A8">
              <w:rPr>
                <w:color w:val="000000"/>
                <w:lang w:eastAsia="en-US"/>
              </w:rPr>
              <w:t>Товар Заказчику поставляется силами, транспортными средствами Поставщика или иными привлечёнными Поставщиком третьими лицами, за счёт Поставщика по адресу: Тюменская область, г. Ханты-Мансийск, ул. Чехова, 81 с разгрузкой на складе Заказчика силами Поставщика</w:t>
            </w:r>
            <w:r w:rsidRPr="00BA110F">
              <w:t>.</w:t>
            </w:r>
            <w:r w:rsidR="00BA110F" w:rsidRPr="00BA110F">
              <w:t xml:space="preserve"> </w:t>
            </w:r>
          </w:p>
          <w:p w:rsidR="00497F23" w:rsidRPr="00F84878" w:rsidRDefault="00BA110F" w:rsidP="00624747">
            <w:pPr>
              <w:widowControl w:val="0"/>
              <w:suppressAutoHyphens/>
              <w:jc w:val="both"/>
            </w:pPr>
            <w:r w:rsidRPr="00BA110F">
              <w:t xml:space="preserve">Поставка Товара осуществляется </w:t>
            </w:r>
            <w:r w:rsidR="00433C6D">
              <w:t xml:space="preserve">в </w:t>
            </w:r>
            <w:r w:rsidR="00433C6D" w:rsidRPr="009E44A8">
              <w:rPr>
                <w:color w:val="000000"/>
                <w:lang w:eastAsia="en-US"/>
              </w:rPr>
              <w:t xml:space="preserve">течение </w:t>
            </w:r>
            <w:r w:rsidR="00433C6D" w:rsidRPr="00A65DC8">
              <w:rPr>
                <w:color w:val="000000"/>
                <w:shd w:val="clear" w:color="auto" w:fill="FFFFFF" w:themeFill="background1"/>
                <w:lang w:eastAsia="en-US"/>
              </w:rPr>
              <w:t>60 (шест</w:t>
            </w:r>
            <w:r w:rsidR="00433C6D">
              <w:rPr>
                <w:color w:val="000000"/>
                <w:shd w:val="clear" w:color="auto" w:fill="FFFFFF" w:themeFill="background1"/>
                <w:lang w:eastAsia="en-US"/>
              </w:rPr>
              <w:t>и</w:t>
            </w:r>
            <w:r w:rsidR="00433C6D" w:rsidRPr="00A65DC8">
              <w:rPr>
                <w:color w:val="000000"/>
                <w:shd w:val="clear" w:color="auto" w:fill="FFFFFF" w:themeFill="background1"/>
                <w:lang w:eastAsia="en-US"/>
              </w:rPr>
              <w:t>десят</w:t>
            </w:r>
            <w:r w:rsidR="00433C6D">
              <w:rPr>
                <w:color w:val="000000"/>
                <w:shd w:val="clear" w:color="auto" w:fill="FFFFFF" w:themeFill="background1"/>
                <w:lang w:eastAsia="en-US"/>
              </w:rPr>
              <w:t>и</w:t>
            </w:r>
            <w:r w:rsidR="00433C6D" w:rsidRPr="009E44A8">
              <w:rPr>
                <w:color w:val="000000"/>
                <w:lang w:eastAsia="en-US"/>
              </w:rPr>
              <w:t>) календарных дней (с правом досрочной поставк</w:t>
            </w:r>
            <w:r w:rsidR="00433C6D">
              <w:rPr>
                <w:color w:val="000000"/>
                <w:lang w:eastAsia="en-US"/>
              </w:rPr>
              <w:t>и) с момента получения Поставщиком письменной заявки от Заказчика, направляемой любым средством связи</w:t>
            </w:r>
            <w:r w:rsidRPr="00BA110F">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w:t>
            </w:r>
            <w:r w:rsidR="0047678C" w:rsidRPr="00EE0AA0">
              <w:rPr>
                <w:bCs/>
              </w:rPr>
              <w:lastRenderedPageBreak/>
              <w:t>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433C6D" w:rsidP="00624747">
            <w:pPr>
              <w:widowControl w:val="0"/>
              <w:tabs>
                <w:tab w:val="left" w:pos="567"/>
              </w:tabs>
              <w:suppressAutoHyphen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proofErr w:type="gramStart"/>
            <w:r w:rsidRPr="0043647B">
              <w:t>счет-фактуры</w:t>
            </w:r>
            <w:proofErr w:type="gramEnd"/>
            <w:r>
              <w:t xml:space="preserve"> </w:t>
            </w:r>
            <w:r w:rsidRPr="00BE4AE6">
              <w:rPr>
                <w:i/>
              </w:rPr>
              <w:t>(счёта, в случае, если участник размещения заказа имеет право на освобождение от уплаты НДС)</w:t>
            </w:r>
            <w:r>
              <w:rPr>
                <w:i/>
              </w:rPr>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proofErr w:type="gramStart"/>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rsidR="00626E07">
              <w:t>6</w:t>
            </w:r>
            <w:r w:rsidR="000466A7" w:rsidRPr="000466A7">
              <w:t xml:space="preserve"> </w:t>
            </w:r>
            <w:r>
              <w:t xml:space="preserve">п. </w:t>
            </w:r>
            <w:r w:rsidR="00626E07">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proofErr w:type="gramStart"/>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0466A7" w:rsidRPr="000466A7">
              <w:t xml:space="preserve"> </w:t>
            </w:r>
            <w:proofErr w:type="gramStart"/>
            <w:r w:rsidR="000466A7" w:rsidRPr="000466A7">
              <w:t>извещении</w:t>
            </w:r>
            <w:proofErr w:type="gramEnd"/>
            <w:r w:rsidR="000466A7" w:rsidRPr="000466A7">
              <w:t xml:space="preserve">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2C9A">
              <w:t xml:space="preserve"> в законную силу решение суда о признании обязанности </w:t>
            </w:r>
            <w:proofErr w:type="gramStart"/>
            <w:r w:rsidRPr="006D2C9A">
              <w:t>заявителя</w:t>
            </w:r>
            <w:proofErr w:type="gramEnd"/>
            <w:r w:rsidRPr="006D2C9A">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6D2C9A">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w:t>
            </w:r>
            <w:proofErr w:type="gramStart"/>
            <w:r w:rsidRPr="006D2C9A">
              <w:t>в течение двух лет до момента подачи заявки на участие в конкурентной закупке с участием</w:t>
            </w:r>
            <w:proofErr w:type="gramEnd"/>
            <w:r w:rsidRPr="006D2C9A">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6D2C9A">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xml:space="preserve">- указание (декларирование) участником закупки в заявке на участие в закупке наименования страны происхождения поставляемого товара. </w:t>
            </w:r>
            <w:proofErr w:type="gramStart"/>
            <w:r>
              <w:t>При отсутствии в заявке на участие в запросе котировок в электронной форме</w:t>
            </w:r>
            <w:proofErr w:type="gramEnd"/>
            <w:r>
              <w:t xml:space="preserve">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t xml:space="preserve">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95082F" w:rsidRDefault="001E5E11" w:rsidP="000466A7">
            <w:pPr>
              <w:autoSpaceDE w:val="0"/>
              <w:autoSpaceDN w:val="0"/>
              <w:adjustRightInd w:val="0"/>
              <w:ind w:firstLine="540"/>
              <w:jc w:val="both"/>
              <w:rPr>
                <w:b/>
              </w:rPr>
            </w:pPr>
            <w:proofErr w:type="gramStart"/>
            <w:r>
              <w:t>11</w:t>
            </w:r>
            <w:r w:rsidR="0095082F">
              <w:t xml:space="preserve">) </w:t>
            </w:r>
            <w:r w:rsidR="0095082F" w:rsidRPr="0095082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5082F" w:rsidRPr="0095082F">
              <w:t xml:space="preserve">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 xml:space="preserve">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w:t>
            </w:r>
            <w:proofErr w:type="gramStart"/>
            <w:r w:rsidRPr="00C83CFD">
              <w:rPr>
                <w:rFonts w:eastAsia="Calibri"/>
                <w:bCs/>
                <w:lang w:eastAsia="zh-CN"/>
              </w:rPr>
              <w:t>п</w:t>
            </w:r>
            <w:proofErr w:type="gramEnd"/>
            <w:r w:rsidRPr="00C83CFD">
              <w:rPr>
                <w:rFonts w:eastAsia="Calibri"/>
                <w:bCs/>
                <w:lang w:eastAsia="zh-CN"/>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1E5E11">
        <w:rPr>
          <w:sz w:val="22"/>
          <w:szCs w:val="22"/>
          <w:lang w:eastAsia="zh-CN"/>
        </w:rPr>
        <w:t>на</w:t>
      </w:r>
      <w:proofErr w:type="gramEnd"/>
      <w:r w:rsidRPr="001E5E11">
        <w:rPr>
          <w:sz w:val="22"/>
          <w:szCs w:val="22"/>
          <w:lang w:eastAsia="zh-CN"/>
        </w:rPr>
        <w:t xml:space="preserve">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proofErr w:type="gramStart"/>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roofErr w:type="gramEnd"/>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widowControl w:val="0"/>
        <w:suppressAutoHyphens/>
        <w:autoSpaceDE w:val="0"/>
      </w:pP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xml:space="preserve">№ </w:t>
            </w:r>
            <w:proofErr w:type="gramStart"/>
            <w:r w:rsidRPr="001E5E11">
              <w:rPr>
                <w:rFonts w:eastAsia="Calibri"/>
                <w:b/>
                <w:bCs/>
                <w:lang w:eastAsia="en-US"/>
              </w:rPr>
              <w:t>п</w:t>
            </w:r>
            <w:proofErr w:type="gramEnd"/>
            <w:r w:rsidRPr="001E5E11">
              <w:rPr>
                <w:rFonts w:eastAsia="Calibri"/>
                <w:b/>
                <w:bCs/>
                <w:lang w:eastAsia="en-US"/>
              </w:rPr>
              <w:t>/п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433C6D" w:rsidRPr="001E5E11" w:rsidRDefault="00433C6D" w:rsidP="00433C6D">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433C6D" w:rsidRPr="001E5E11" w:rsidRDefault="00433C6D" w:rsidP="00433C6D">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Pr="00CD3447">
        <w:rPr>
          <w:i/>
          <w:sz w:val="20"/>
          <w:szCs w:val="20"/>
          <w:lang w:eastAsia="zh-CN"/>
        </w:rPr>
        <w:t>(пп.1.1</w:t>
      </w:r>
      <w:r w:rsidR="00996FE5">
        <w:rPr>
          <w:i/>
          <w:sz w:val="20"/>
          <w:szCs w:val="20"/>
          <w:lang w:eastAsia="zh-CN"/>
        </w:rPr>
        <w:t>, 1.2, 1.3(1.3.1, 1.3.2, 1.3.3, 13.4, 1.3.5, 1.3.6, 1.3.7, 1.3.8, 1.3.9, 1.3.10), 1.4, 1.5</w:t>
      </w:r>
      <w:r>
        <w:rPr>
          <w:i/>
          <w:sz w:val="20"/>
          <w:szCs w:val="20"/>
          <w:lang w:eastAsia="zh-CN"/>
        </w:rPr>
        <w:t>)</w:t>
      </w:r>
      <w:r w:rsidR="00996FE5">
        <w:rPr>
          <w:i/>
          <w:sz w:val="20"/>
          <w:szCs w:val="20"/>
          <w:lang w:eastAsia="zh-CN"/>
        </w:rPr>
        <w:t>)</w:t>
      </w:r>
      <w:r w:rsidRPr="001E5E11">
        <w:rPr>
          <w:i/>
          <w:sz w:val="20"/>
          <w:szCs w:val="20"/>
          <w:lang w:eastAsia="zh-CN"/>
        </w:rPr>
        <w:t>*.</w:t>
      </w:r>
      <w:r w:rsidRPr="001E5E11">
        <w:rPr>
          <w:sz w:val="20"/>
          <w:szCs w:val="20"/>
          <w:lang w:eastAsia="zh-CN"/>
        </w:rPr>
        <w:t xml:space="preserve">               </w:t>
      </w:r>
      <w:proofErr w:type="gramEnd"/>
    </w:p>
    <w:p w:rsidR="00433C6D" w:rsidRPr="001E5E11" w:rsidRDefault="00433C6D" w:rsidP="00433C6D">
      <w:pPr>
        <w:widowControl w:val="0"/>
        <w:suppressAutoHyphens/>
        <w:autoSpaceDE w:val="0"/>
        <w:ind w:firstLine="709"/>
        <w:rPr>
          <w:sz w:val="22"/>
          <w:szCs w:val="22"/>
          <w:lang w:eastAsia="zh-CN"/>
        </w:rPr>
      </w:pPr>
    </w:p>
    <w:p w:rsidR="00433C6D" w:rsidRPr="001E5E11" w:rsidRDefault="00433C6D" w:rsidP="00433C6D">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433C6D" w:rsidRPr="001E5E11" w:rsidRDefault="00433C6D" w:rsidP="00433C6D">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433C6D" w:rsidRPr="001E5E11" w:rsidRDefault="00433C6D" w:rsidP="00433C6D">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433C6D" w:rsidRPr="001E5E11" w:rsidRDefault="00433C6D" w:rsidP="00433C6D">
      <w:pPr>
        <w:jc w:val="both"/>
        <w:rPr>
          <w:i/>
          <w:color w:val="943634" w:themeColor="accent2" w:themeShade="BF"/>
        </w:rPr>
      </w:pPr>
      <w:r w:rsidRPr="001E5E11">
        <w:rPr>
          <w:i/>
          <w:color w:val="943634" w:themeColor="accent2" w:themeShade="BF"/>
        </w:rPr>
        <w:t>ИНСТРУКЦИИ ПО ЗАПОЛНЕНИЮ:</w:t>
      </w:r>
    </w:p>
    <w:p w:rsidR="00433C6D" w:rsidRPr="001E5E11" w:rsidRDefault="00433C6D" w:rsidP="00433C6D">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433C6D" w:rsidRDefault="00433C6D" w:rsidP="00433C6D">
      <w:pPr>
        <w:jc w:val="both"/>
        <w:rPr>
          <w:i/>
          <w:color w:val="943634" w:themeColor="accent2" w:themeShade="BF"/>
          <w:lang w:eastAsia="zh-CN"/>
        </w:rPr>
      </w:pPr>
      <w:r w:rsidRPr="001E5E11">
        <w:rPr>
          <w:i/>
          <w:color w:val="943634" w:themeColor="accent2" w:themeShade="BF"/>
        </w:rPr>
        <w:t xml:space="preserve">2. </w:t>
      </w:r>
      <w:proofErr w:type="gramStart"/>
      <w:r w:rsidRPr="001E5E11">
        <w:rPr>
          <w:i/>
          <w:color w:val="943634" w:themeColor="accent2" w:themeShade="BF"/>
        </w:rPr>
        <w:t>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Pr="004A4199">
        <w:rPr>
          <w:i/>
          <w:color w:val="943634" w:themeColor="accent2" w:themeShade="BF"/>
          <w:lang w:eastAsia="zh-CN"/>
        </w:rPr>
        <w:t xml:space="preserve">(п.1 </w:t>
      </w:r>
      <w:r w:rsidRPr="009B7EC2">
        <w:rPr>
          <w:i/>
          <w:color w:val="943634" w:themeColor="accent2" w:themeShade="BF"/>
          <w:lang w:eastAsia="zh-CN"/>
        </w:rPr>
        <w:t>(пп.1.1</w:t>
      </w:r>
      <w:r w:rsidR="00996FE5" w:rsidRPr="00996FE5">
        <w:rPr>
          <w:i/>
          <w:color w:val="943634" w:themeColor="accent2" w:themeShade="BF"/>
          <w:lang w:eastAsia="zh-CN"/>
        </w:rPr>
        <w:t>, 1.2, 1.3(1.3.1, 1.3.2, 1.3.3, 13.4, 1.3.5, 1.3.6, 1.3.7, 1.3.8, 1.3.9, 1.3.10), 1.4, 1.5)</w:t>
      </w:r>
      <w:r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proofErr w:type="gramEnd"/>
    </w:p>
    <w:p w:rsidR="00433C6D" w:rsidRDefault="00433C6D" w:rsidP="00433C6D">
      <w:pPr>
        <w:jc w:val="both"/>
        <w:rPr>
          <w:i/>
          <w:color w:val="943634" w:themeColor="accent2" w:themeShade="BF"/>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p>
    <w:p w:rsidR="00433C6D" w:rsidRDefault="00433C6D" w:rsidP="00433C6D">
      <w:pPr>
        <w:jc w:val="both"/>
        <w:rPr>
          <w:i/>
          <w:color w:val="943634" w:themeColor="accent2" w:themeShade="BF"/>
        </w:rPr>
      </w:pPr>
    </w:p>
    <w:p w:rsidR="00433C6D" w:rsidRDefault="00433C6D" w:rsidP="00433C6D">
      <w:pPr>
        <w:jc w:val="both"/>
        <w:rPr>
          <w:i/>
          <w:color w:val="943634" w:themeColor="accent2" w:themeShade="BF"/>
        </w:rPr>
      </w:pPr>
    </w:p>
    <w:p w:rsidR="00E710E9" w:rsidRPr="00433C6D" w:rsidRDefault="00E710E9" w:rsidP="00433C6D">
      <w:pPr>
        <w:jc w:val="center"/>
        <w:rPr>
          <w:rFonts w:eastAsia="MS Mincho"/>
          <w:b/>
          <w:kern w:val="32"/>
          <w:sz w:val="28"/>
          <w:szCs w:val="28"/>
          <w:lang w:val="x-none" w:eastAsia="x-none"/>
        </w:rPr>
      </w:pPr>
      <w:r w:rsidRPr="00433C6D">
        <w:rPr>
          <w:rFonts w:eastAsia="MS Mincho"/>
          <w:b/>
          <w:kern w:val="32"/>
          <w:sz w:val="28"/>
          <w:szCs w:val="28"/>
          <w:lang w:val="x-none" w:eastAsia="x-none"/>
        </w:rPr>
        <w:lastRenderedPageBreak/>
        <w:t xml:space="preserve">Форма </w:t>
      </w:r>
      <w:r w:rsidRPr="00433C6D">
        <w:rPr>
          <w:rFonts w:eastAsia="MS Mincho"/>
          <w:b/>
          <w:kern w:val="32"/>
          <w:sz w:val="28"/>
          <w:szCs w:val="28"/>
          <w:lang w:eastAsia="x-none"/>
        </w:rPr>
        <w:t>4</w:t>
      </w:r>
      <w:r w:rsidRPr="00433C6D">
        <w:rPr>
          <w:rFonts w:eastAsia="MS Mincho"/>
          <w:b/>
          <w:kern w:val="32"/>
          <w:sz w:val="28"/>
          <w:szCs w:val="28"/>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8A33C2">
        <w:rPr>
          <w:sz w:val="22"/>
          <w:szCs w:val="22"/>
          <w:lang w:eastAsia="zh-CN"/>
        </w:rPr>
        <w:t>на</w:t>
      </w:r>
      <w:proofErr w:type="gramEnd"/>
      <w:r w:rsidRPr="008A33C2">
        <w:rPr>
          <w:sz w:val="22"/>
          <w:szCs w:val="22"/>
          <w:lang w:eastAsia="zh-CN"/>
        </w:rPr>
        <w:t xml:space="preserve">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roofErr w:type="gramStart"/>
            <w:r w:rsidRPr="008A33C2">
              <w:rPr>
                <w:iCs/>
                <w:color w:val="000000"/>
                <w:sz w:val="20"/>
                <w:szCs w:val="20"/>
                <w:lang w:eastAsia="zh-CN"/>
              </w:rPr>
              <w:t>п</w:t>
            </w:r>
            <w:proofErr w:type="gramEnd"/>
            <w:r w:rsidRPr="008A33C2">
              <w:rPr>
                <w:iCs/>
                <w:color w:val="000000"/>
                <w:sz w:val="20"/>
                <w:szCs w:val="20"/>
                <w:lang w:eastAsia="zh-CN"/>
              </w:rPr>
              <w:t>/п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предложенная участником закупки, с учетом доставки и прочих </w:t>
            </w:r>
            <w:proofErr w:type="gramStart"/>
            <w:r w:rsidRPr="008A33C2">
              <w:rPr>
                <w:iCs/>
                <w:color w:val="000000"/>
                <w:sz w:val="20"/>
                <w:szCs w:val="20"/>
                <w:lang w:eastAsia="zh-CN"/>
              </w:rPr>
              <w:t>платежей</w:t>
            </w:r>
            <w:proofErr w:type="gramEnd"/>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 xml:space="preserve">(если участник размещения заказа имеет право на освобождение от уплаты НДС, то </w:t>
            </w:r>
            <w:proofErr w:type="gramStart"/>
            <w:r w:rsidRPr="008A33C2">
              <w:rPr>
                <w:i/>
                <w:iCs/>
                <w:color w:val="000000"/>
                <w:sz w:val="20"/>
                <w:szCs w:val="20"/>
                <w:lang w:eastAsia="zh-CN"/>
              </w:rPr>
              <w:t>указывается НДС не облагается</w:t>
            </w:r>
            <w:proofErr w:type="gramEnd"/>
            <w:r w:rsidRPr="008A33C2">
              <w:rPr>
                <w:i/>
                <w:iCs/>
                <w:color w:val="000000"/>
                <w:sz w:val="20"/>
                <w:szCs w:val="20"/>
                <w:lang w:eastAsia="zh-CN"/>
              </w:rPr>
              <w:t>)</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433C6D" w:rsidRDefault="00433C6D" w:rsidP="009D60C3">
      <w:pPr>
        <w:suppressAutoHyphens/>
        <w:jc w:val="center"/>
        <w:rPr>
          <w:rFonts w:eastAsia="MS Mincho"/>
          <w:b/>
          <w:kern w:val="32"/>
          <w:lang w:eastAsia="x-none"/>
        </w:rPr>
      </w:pPr>
    </w:p>
    <w:p w:rsidR="00C919B0" w:rsidRPr="00433C6D" w:rsidRDefault="00C919B0" w:rsidP="009D60C3">
      <w:pPr>
        <w:suppressAutoHyphens/>
        <w:jc w:val="center"/>
        <w:rPr>
          <w:rFonts w:eastAsia="MS Mincho"/>
          <w:b/>
          <w:kern w:val="32"/>
          <w:sz w:val="28"/>
          <w:szCs w:val="28"/>
          <w:lang w:val="x-none" w:eastAsia="x-none"/>
        </w:rPr>
      </w:pPr>
      <w:r w:rsidRPr="00433C6D">
        <w:rPr>
          <w:rFonts w:eastAsia="MS Mincho"/>
          <w:b/>
          <w:kern w:val="32"/>
          <w:sz w:val="28"/>
          <w:szCs w:val="28"/>
          <w:lang w:val="x-none" w:eastAsia="x-none"/>
        </w:rPr>
        <w:lastRenderedPageBreak/>
        <w:t xml:space="preserve">Форма </w:t>
      </w:r>
      <w:r w:rsidR="00EB1060" w:rsidRPr="00433C6D">
        <w:rPr>
          <w:rFonts w:eastAsia="MS Mincho"/>
          <w:b/>
          <w:kern w:val="32"/>
          <w:sz w:val="28"/>
          <w:szCs w:val="28"/>
          <w:lang w:eastAsia="x-none"/>
        </w:rPr>
        <w:t>5</w:t>
      </w:r>
      <w:r w:rsidR="00433C6D" w:rsidRPr="00433C6D">
        <w:rPr>
          <w:rFonts w:eastAsia="MS Mincho"/>
          <w:b/>
          <w:kern w:val="32"/>
          <w:sz w:val="28"/>
          <w:szCs w:val="28"/>
          <w:lang w:eastAsia="x-none"/>
        </w:rPr>
        <w:t>.</w:t>
      </w:r>
      <w:r w:rsidRPr="00433C6D">
        <w:rPr>
          <w:rFonts w:eastAsia="MS Mincho"/>
          <w:b/>
          <w:kern w:val="32"/>
          <w:sz w:val="28"/>
          <w:szCs w:val="28"/>
          <w:lang w:val="x-none" w:eastAsia="x-none"/>
        </w:rPr>
        <w:t xml:space="preserve"> РЕКОМЕНДУЕМАЯ ФОРМА ЗАПРОСА РАЗЪЯСНЕНИЙ ИЗВЕЩЕНИЯ О ЗАКУПКЕ</w:t>
      </w:r>
      <w:bookmarkEnd w:id="65"/>
    </w:p>
    <w:p w:rsidR="00C919B0" w:rsidRPr="00433C6D" w:rsidRDefault="00C919B0" w:rsidP="009D60C3">
      <w:pPr>
        <w:jc w:val="center"/>
        <w:rPr>
          <w:b/>
          <w:sz w:val="28"/>
          <w:szCs w:val="28"/>
        </w:rPr>
      </w:pPr>
    </w:p>
    <w:p w:rsidR="00C919B0" w:rsidRPr="00433C6D" w:rsidRDefault="00C919B0" w:rsidP="009D60C3">
      <w:pPr>
        <w:jc w:val="center"/>
        <w:rPr>
          <w:b/>
          <w:sz w:val="28"/>
          <w:szCs w:val="28"/>
        </w:rPr>
      </w:pPr>
      <w:r w:rsidRPr="00433C6D">
        <w:rPr>
          <w:b/>
          <w:sz w:val="28"/>
          <w:szCs w:val="28"/>
        </w:rPr>
        <w:t xml:space="preserve">РЕКОМЕНДУЕМАЯ ФОРМА ЗАПРОСА РАЗЪЯСНЕНИЙ </w:t>
      </w:r>
      <w:bookmarkEnd w:id="66"/>
      <w:bookmarkEnd w:id="67"/>
      <w:r w:rsidRPr="00433C6D">
        <w:rPr>
          <w:b/>
          <w:sz w:val="28"/>
          <w:szCs w:val="28"/>
        </w:rPr>
        <w:t>ИЗВЕЩЕНИЯ</w:t>
      </w:r>
    </w:p>
    <w:p w:rsidR="00C919B0" w:rsidRPr="00433C6D" w:rsidRDefault="00C919B0" w:rsidP="009D60C3">
      <w:pPr>
        <w:jc w:val="center"/>
        <w:rPr>
          <w:b/>
          <w:sz w:val="28"/>
          <w:szCs w:val="28"/>
        </w:rPr>
      </w:pPr>
      <w:r w:rsidRPr="00433C6D">
        <w:rPr>
          <w:b/>
          <w:sz w:val="28"/>
          <w:szCs w:val="28"/>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49B" w:rsidRDefault="0012249B" w:rsidP="00C919B0">
      <w:r>
        <w:separator/>
      </w:r>
    </w:p>
  </w:endnote>
  <w:endnote w:type="continuationSeparator" w:id="0">
    <w:p w:rsidR="0012249B" w:rsidRDefault="0012249B"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B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CE132C" w:rsidRDefault="00CE132C">
        <w:pPr>
          <w:pStyle w:val="a7"/>
          <w:jc w:val="right"/>
        </w:pPr>
        <w:r>
          <w:fldChar w:fldCharType="begin"/>
        </w:r>
        <w:r>
          <w:instrText>PAGE   \* MERGEFORMAT</w:instrText>
        </w:r>
        <w:r>
          <w:fldChar w:fldCharType="separate"/>
        </w:r>
        <w:r w:rsidR="005951D9">
          <w:rPr>
            <w:noProof/>
          </w:rPr>
          <w:t>3</w:t>
        </w:r>
        <w:r>
          <w:fldChar w:fldCharType="end"/>
        </w:r>
      </w:p>
    </w:sdtContent>
  </w:sdt>
  <w:p w:rsidR="00CE132C" w:rsidRDefault="00CE132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49B" w:rsidRDefault="0012249B" w:rsidP="00C919B0">
      <w:r>
        <w:separator/>
      </w:r>
    </w:p>
  </w:footnote>
  <w:footnote w:type="continuationSeparator" w:id="0">
    <w:p w:rsidR="0012249B" w:rsidRDefault="0012249B"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76D92"/>
    <w:rsid w:val="00081289"/>
    <w:rsid w:val="00083128"/>
    <w:rsid w:val="000947A1"/>
    <w:rsid w:val="000968E7"/>
    <w:rsid w:val="000A1291"/>
    <w:rsid w:val="000B105B"/>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249B"/>
    <w:rsid w:val="00124C9B"/>
    <w:rsid w:val="00133058"/>
    <w:rsid w:val="0013521B"/>
    <w:rsid w:val="00141430"/>
    <w:rsid w:val="00141FF6"/>
    <w:rsid w:val="00154AB8"/>
    <w:rsid w:val="00161340"/>
    <w:rsid w:val="001644D7"/>
    <w:rsid w:val="001655EB"/>
    <w:rsid w:val="00172AC5"/>
    <w:rsid w:val="00173AAA"/>
    <w:rsid w:val="00173F79"/>
    <w:rsid w:val="0017659A"/>
    <w:rsid w:val="00177C6C"/>
    <w:rsid w:val="00183EF8"/>
    <w:rsid w:val="001A259D"/>
    <w:rsid w:val="001A7DA4"/>
    <w:rsid w:val="001B2A3D"/>
    <w:rsid w:val="001C20F7"/>
    <w:rsid w:val="001C3ECA"/>
    <w:rsid w:val="001C4061"/>
    <w:rsid w:val="001C418C"/>
    <w:rsid w:val="001C454D"/>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51A32"/>
    <w:rsid w:val="00253068"/>
    <w:rsid w:val="00256D0B"/>
    <w:rsid w:val="00262748"/>
    <w:rsid w:val="00263363"/>
    <w:rsid w:val="002709D9"/>
    <w:rsid w:val="0027263A"/>
    <w:rsid w:val="00272E0E"/>
    <w:rsid w:val="002742FF"/>
    <w:rsid w:val="00275132"/>
    <w:rsid w:val="002939C9"/>
    <w:rsid w:val="00297EDE"/>
    <w:rsid w:val="002B1952"/>
    <w:rsid w:val="002B6C41"/>
    <w:rsid w:val="002B7D9E"/>
    <w:rsid w:val="002C370C"/>
    <w:rsid w:val="002C5625"/>
    <w:rsid w:val="002C682F"/>
    <w:rsid w:val="002D3E1D"/>
    <w:rsid w:val="002D63E7"/>
    <w:rsid w:val="002D7B12"/>
    <w:rsid w:val="002E2FC3"/>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1FF"/>
    <w:rsid w:val="003547B2"/>
    <w:rsid w:val="00365F37"/>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16F0"/>
    <w:rsid w:val="003E3167"/>
    <w:rsid w:val="003E3321"/>
    <w:rsid w:val="003E3DA5"/>
    <w:rsid w:val="003E40B7"/>
    <w:rsid w:val="003E506E"/>
    <w:rsid w:val="003E650A"/>
    <w:rsid w:val="003F16BC"/>
    <w:rsid w:val="003F7D9E"/>
    <w:rsid w:val="00414416"/>
    <w:rsid w:val="00422DA9"/>
    <w:rsid w:val="00425570"/>
    <w:rsid w:val="00425E68"/>
    <w:rsid w:val="00426557"/>
    <w:rsid w:val="00433C6D"/>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A79"/>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05AEF"/>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951D9"/>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5E781E"/>
    <w:rsid w:val="006019F1"/>
    <w:rsid w:val="00601C51"/>
    <w:rsid w:val="00601FF8"/>
    <w:rsid w:val="006071EF"/>
    <w:rsid w:val="00612183"/>
    <w:rsid w:val="00614867"/>
    <w:rsid w:val="00616194"/>
    <w:rsid w:val="006163E4"/>
    <w:rsid w:val="00624747"/>
    <w:rsid w:val="00626E07"/>
    <w:rsid w:val="00627EDD"/>
    <w:rsid w:val="006354DA"/>
    <w:rsid w:val="006369CF"/>
    <w:rsid w:val="00642F04"/>
    <w:rsid w:val="006431AE"/>
    <w:rsid w:val="00650A33"/>
    <w:rsid w:val="00651C30"/>
    <w:rsid w:val="006529D4"/>
    <w:rsid w:val="00657AFD"/>
    <w:rsid w:val="00671211"/>
    <w:rsid w:val="0067289D"/>
    <w:rsid w:val="00674BEC"/>
    <w:rsid w:val="006753F0"/>
    <w:rsid w:val="0068055D"/>
    <w:rsid w:val="0068256C"/>
    <w:rsid w:val="00683185"/>
    <w:rsid w:val="00683267"/>
    <w:rsid w:val="00690797"/>
    <w:rsid w:val="006916F6"/>
    <w:rsid w:val="00694E8E"/>
    <w:rsid w:val="00694F1A"/>
    <w:rsid w:val="0069614D"/>
    <w:rsid w:val="006A12B8"/>
    <w:rsid w:val="006B060A"/>
    <w:rsid w:val="006B5754"/>
    <w:rsid w:val="006B5CD2"/>
    <w:rsid w:val="006B6160"/>
    <w:rsid w:val="006C0804"/>
    <w:rsid w:val="006D0B46"/>
    <w:rsid w:val="006D49D2"/>
    <w:rsid w:val="006D69F0"/>
    <w:rsid w:val="006D7348"/>
    <w:rsid w:val="006E1517"/>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96562"/>
    <w:rsid w:val="007B20C7"/>
    <w:rsid w:val="007C4D54"/>
    <w:rsid w:val="007C6AC1"/>
    <w:rsid w:val="007D3A67"/>
    <w:rsid w:val="007D755B"/>
    <w:rsid w:val="007F0064"/>
    <w:rsid w:val="007F442D"/>
    <w:rsid w:val="007F4C08"/>
    <w:rsid w:val="007F57DC"/>
    <w:rsid w:val="007F72F1"/>
    <w:rsid w:val="007F7896"/>
    <w:rsid w:val="00801601"/>
    <w:rsid w:val="008026FF"/>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1823"/>
    <w:rsid w:val="00864167"/>
    <w:rsid w:val="008660CB"/>
    <w:rsid w:val="00871084"/>
    <w:rsid w:val="00876939"/>
    <w:rsid w:val="00885020"/>
    <w:rsid w:val="00885A35"/>
    <w:rsid w:val="00885ADB"/>
    <w:rsid w:val="008866E9"/>
    <w:rsid w:val="00892B5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6FE5"/>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4BC6"/>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1F6F"/>
    <w:rsid w:val="00AA246A"/>
    <w:rsid w:val="00AA46B1"/>
    <w:rsid w:val="00AA50CD"/>
    <w:rsid w:val="00AA57E7"/>
    <w:rsid w:val="00AA6202"/>
    <w:rsid w:val="00AA7395"/>
    <w:rsid w:val="00AA7C9C"/>
    <w:rsid w:val="00AC136A"/>
    <w:rsid w:val="00AC20CA"/>
    <w:rsid w:val="00AD22DE"/>
    <w:rsid w:val="00AD27BC"/>
    <w:rsid w:val="00AE0A8A"/>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1CF7"/>
    <w:rsid w:val="00B82349"/>
    <w:rsid w:val="00B827A4"/>
    <w:rsid w:val="00B82E75"/>
    <w:rsid w:val="00B83FB9"/>
    <w:rsid w:val="00B85A00"/>
    <w:rsid w:val="00B87675"/>
    <w:rsid w:val="00B90BD4"/>
    <w:rsid w:val="00B96712"/>
    <w:rsid w:val="00BA0DCB"/>
    <w:rsid w:val="00BA110F"/>
    <w:rsid w:val="00BA3CAB"/>
    <w:rsid w:val="00BA7E96"/>
    <w:rsid w:val="00BB3FAD"/>
    <w:rsid w:val="00BB6D30"/>
    <w:rsid w:val="00BB7E38"/>
    <w:rsid w:val="00BC1FC6"/>
    <w:rsid w:val="00BC2C16"/>
    <w:rsid w:val="00BD1BD6"/>
    <w:rsid w:val="00BD3422"/>
    <w:rsid w:val="00BD44D4"/>
    <w:rsid w:val="00BD4FED"/>
    <w:rsid w:val="00BD58AF"/>
    <w:rsid w:val="00BD6019"/>
    <w:rsid w:val="00BD742C"/>
    <w:rsid w:val="00BE3CC0"/>
    <w:rsid w:val="00BE63EE"/>
    <w:rsid w:val="00BE7752"/>
    <w:rsid w:val="00BF1AAD"/>
    <w:rsid w:val="00BF341D"/>
    <w:rsid w:val="00C04233"/>
    <w:rsid w:val="00C0596E"/>
    <w:rsid w:val="00C128EB"/>
    <w:rsid w:val="00C143D5"/>
    <w:rsid w:val="00C2056E"/>
    <w:rsid w:val="00C20668"/>
    <w:rsid w:val="00C4410B"/>
    <w:rsid w:val="00C467E9"/>
    <w:rsid w:val="00C60976"/>
    <w:rsid w:val="00C673F0"/>
    <w:rsid w:val="00C73CA5"/>
    <w:rsid w:val="00C7406D"/>
    <w:rsid w:val="00C76707"/>
    <w:rsid w:val="00C77572"/>
    <w:rsid w:val="00C83CFD"/>
    <w:rsid w:val="00C86CC1"/>
    <w:rsid w:val="00C911A7"/>
    <w:rsid w:val="00C919B0"/>
    <w:rsid w:val="00C9539C"/>
    <w:rsid w:val="00C95EC3"/>
    <w:rsid w:val="00C975D1"/>
    <w:rsid w:val="00CA22D3"/>
    <w:rsid w:val="00CA31FE"/>
    <w:rsid w:val="00CA3EFE"/>
    <w:rsid w:val="00CA74CA"/>
    <w:rsid w:val="00CA75B4"/>
    <w:rsid w:val="00CB015B"/>
    <w:rsid w:val="00CB31E4"/>
    <w:rsid w:val="00CB3A60"/>
    <w:rsid w:val="00CB4891"/>
    <w:rsid w:val="00CB5EEC"/>
    <w:rsid w:val="00CD3447"/>
    <w:rsid w:val="00CD4F41"/>
    <w:rsid w:val="00CD57E9"/>
    <w:rsid w:val="00CD63D4"/>
    <w:rsid w:val="00CE132C"/>
    <w:rsid w:val="00CE1C25"/>
    <w:rsid w:val="00CE2392"/>
    <w:rsid w:val="00CE2530"/>
    <w:rsid w:val="00CE430C"/>
    <w:rsid w:val="00CE4EDE"/>
    <w:rsid w:val="00CF05AD"/>
    <w:rsid w:val="00CF092C"/>
    <w:rsid w:val="00CF2CF2"/>
    <w:rsid w:val="00CF4E5A"/>
    <w:rsid w:val="00D0012C"/>
    <w:rsid w:val="00D03A39"/>
    <w:rsid w:val="00D06445"/>
    <w:rsid w:val="00D13F6B"/>
    <w:rsid w:val="00D163EC"/>
    <w:rsid w:val="00D20C18"/>
    <w:rsid w:val="00D24D0B"/>
    <w:rsid w:val="00D31ECF"/>
    <w:rsid w:val="00D32BAD"/>
    <w:rsid w:val="00D32F6B"/>
    <w:rsid w:val="00D402CC"/>
    <w:rsid w:val="00D42C3A"/>
    <w:rsid w:val="00D44E5E"/>
    <w:rsid w:val="00D45AD3"/>
    <w:rsid w:val="00D46C10"/>
    <w:rsid w:val="00D50D48"/>
    <w:rsid w:val="00D53266"/>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54F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4D0D"/>
    <w:rsid w:val="00EE6A15"/>
    <w:rsid w:val="00EF3617"/>
    <w:rsid w:val="00EF7FDE"/>
    <w:rsid w:val="00F025EE"/>
    <w:rsid w:val="00F033FE"/>
    <w:rsid w:val="00F062D5"/>
    <w:rsid w:val="00F077FA"/>
    <w:rsid w:val="00F10AC8"/>
    <w:rsid w:val="00F11FF4"/>
    <w:rsid w:val="00F21005"/>
    <w:rsid w:val="00F22FF7"/>
    <w:rsid w:val="00F24413"/>
    <w:rsid w:val="00F312D4"/>
    <w:rsid w:val="00F40D76"/>
    <w:rsid w:val="00F43791"/>
    <w:rsid w:val="00F54AA5"/>
    <w:rsid w:val="00F54EA0"/>
    <w:rsid w:val="00F565F9"/>
    <w:rsid w:val="00F56AEB"/>
    <w:rsid w:val="00F574DD"/>
    <w:rsid w:val="00F60969"/>
    <w:rsid w:val="00F61C76"/>
    <w:rsid w:val="00F63712"/>
    <w:rsid w:val="00F64C82"/>
    <w:rsid w:val="00F653C4"/>
    <w:rsid w:val="00F67F12"/>
    <w:rsid w:val="00F75643"/>
    <w:rsid w:val="00F8112D"/>
    <w:rsid w:val="00F81DD9"/>
    <w:rsid w:val="00F85031"/>
    <w:rsid w:val="00F90318"/>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uiPriority w:val="99"/>
    <w:rsid w:val="002B1952"/>
    <w:pPr>
      <w:keepNext/>
      <w:widowControl w:val="0"/>
      <w:suppressAutoHyphens/>
      <w:spacing w:before="240" w:after="120"/>
    </w:pPr>
    <w:rPr>
      <w:rFonts w:ascii="Arial" w:eastAsia="Microsoft YaHei" w:hAnsi="Arial" w:cs="Mangal"/>
      <w:kern w:val="1"/>
      <w:sz w:val="28"/>
      <w:szCs w:val="2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E8591-F8D2-4DF1-A938-1F3B1722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10904</Words>
  <Characters>62157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5</cp:revision>
  <cp:lastPrinted>2024-08-20T02:55:00Z</cp:lastPrinted>
  <dcterms:created xsi:type="dcterms:W3CDTF">2024-08-19T12:09:00Z</dcterms:created>
  <dcterms:modified xsi:type="dcterms:W3CDTF">2024-08-20T06:01:00Z</dcterms:modified>
</cp:coreProperties>
</file>