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F062D5" w:rsidRPr="00921E1F" w:rsidRDefault="00F062D5" w:rsidP="00F062D5">
            <w:pPr>
              <w:widowControl w:val="0"/>
              <w:suppressAutoHyphens/>
              <w:autoSpaceDE w:val="0"/>
              <w:rPr>
                <w:b/>
                <w:lang w:eastAsia="zh-CN"/>
              </w:rPr>
            </w:pPr>
            <w:r w:rsidRPr="00921E1F">
              <w:rPr>
                <w:b/>
                <w:lang w:eastAsia="zh-CN"/>
              </w:rPr>
              <w:t>«СОГЛАСОВАНО»</w:t>
            </w:r>
          </w:p>
          <w:p w:rsidR="00F062D5" w:rsidRPr="00921E1F" w:rsidRDefault="00F062D5" w:rsidP="00F062D5">
            <w:pPr>
              <w:widowControl w:val="0"/>
              <w:suppressAutoHyphens/>
              <w:autoSpaceDE w:val="0"/>
              <w:rPr>
                <w:b/>
                <w:lang w:eastAsia="zh-CN"/>
              </w:rPr>
            </w:pPr>
          </w:p>
          <w:p w:rsidR="00F062D5" w:rsidRDefault="00C911A7" w:rsidP="00F062D5">
            <w:pPr>
              <w:widowControl w:val="0"/>
              <w:suppressAutoHyphens/>
              <w:autoSpaceDE w:val="0"/>
              <w:rPr>
                <w:b/>
                <w:lang w:eastAsia="zh-CN"/>
              </w:rPr>
            </w:pPr>
            <w:r>
              <w:rPr>
                <w:b/>
                <w:lang w:eastAsia="zh-CN"/>
              </w:rPr>
              <w:t>Заместитель генерального директора по производству</w:t>
            </w:r>
          </w:p>
          <w:p w:rsidR="00F062D5" w:rsidRPr="00921E1F" w:rsidRDefault="00F062D5" w:rsidP="00F062D5">
            <w:pPr>
              <w:widowControl w:val="0"/>
              <w:suppressAutoHyphens/>
              <w:autoSpaceDE w:val="0"/>
              <w:rPr>
                <w:b/>
                <w:lang w:eastAsia="zh-CN"/>
              </w:rPr>
            </w:pPr>
            <w:r w:rsidRPr="00921E1F">
              <w:rPr>
                <w:b/>
                <w:lang w:eastAsia="zh-CN"/>
              </w:rPr>
              <w:t xml:space="preserve">                                                                             </w:t>
            </w:r>
          </w:p>
          <w:p w:rsidR="00F062D5" w:rsidRPr="00921E1F" w:rsidRDefault="00F062D5" w:rsidP="00F062D5">
            <w:pPr>
              <w:widowControl w:val="0"/>
              <w:suppressAutoHyphens/>
              <w:autoSpaceDE w:val="0"/>
              <w:rPr>
                <w:b/>
                <w:lang w:eastAsia="zh-CN"/>
              </w:rPr>
            </w:pPr>
          </w:p>
          <w:p w:rsidR="00F062D5" w:rsidRPr="00921E1F" w:rsidRDefault="00F062D5" w:rsidP="00F062D5">
            <w:pPr>
              <w:widowControl w:val="0"/>
              <w:suppressAutoHyphens/>
              <w:autoSpaceDE w:val="0"/>
              <w:rPr>
                <w:b/>
                <w:lang w:eastAsia="zh-CN"/>
              </w:rPr>
            </w:pPr>
            <w:r w:rsidRPr="00921E1F">
              <w:rPr>
                <w:b/>
                <w:lang w:eastAsia="zh-CN"/>
              </w:rPr>
              <w:t xml:space="preserve">______________ </w:t>
            </w:r>
            <w:r w:rsidR="00C911A7">
              <w:rPr>
                <w:b/>
                <w:lang w:eastAsia="zh-CN"/>
              </w:rPr>
              <w:t>П.Н. Захаров</w:t>
            </w:r>
            <w:bookmarkStart w:id="0" w:name="_GoBack"/>
            <w:bookmarkEnd w:id="0"/>
          </w:p>
          <w:p w:rsidR="00F062D5" w:rsidRPr="00921E1F" w:rsidRDefault="00F062D5" w:rsidP="00F062D5">
            <w:pPr>
              <w:widowControl w:val="0"/>
              <w:suppressAutoHyphens/>
              <w:autoSpaceDE w:val="0"/>
              <w:rPr>
                <w:b/>
                <w:lang w:eastAsia="zh-CN"/>
              </w:rPr>
            </w:pPr>
            <w:r w:rsidRPr="00921E1F">
              <w:rPr>
                <w:b/>
                <w:lang w:eastAsia="zh-CN"/>
              </w:rPr>
              <w:t xml:space="preserve">                                                          </w:t>
            </w:r>
          </w:p>
          <w:p w:rsidR="00921E1F" w:rsidRPr="00921E1F" w:rsidRDefault="00F062D5" w:rsidP="00F062D5">
            <w:pPr>
              <w:widowControl w:val="0"/>
              <w:suppressAutoHyphens/>
              <w:autoSpaceDE w:val="0"/>
              <w:rPr>
                <w:b/>
                <w:lang w:eastAsia="zh-CN"/>
              </w:rPr>
            </w:pPr>
            <w:r w:rsidRPr="00921E1F">
              <w:rPr>
                <w:b/>
                <w:lang w:eastAsia="zh-CN"/>
              </w:rPr>
              <w:t>«_____»_______________20</w:t>
            </w:r>
            <w:r>
              <w:rPr>
                <w:b/>
                <w:lang w:eastAsia="zh-CN"/>
              </w:rPr>
              <w:t>24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56D0B"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8026FF">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Default="0027263A" w:rsidP="00921E1F">
            <w:pPr>
              <w:widowControl w:val="0"/>
              <w:suppressAutoHyphens/>
              <w:autoSpaceDE w:val="0"/>
              <w:rPr>
                <w:b/>
                <w:lang w:eastAsia="zh-CN"/>
              </w:rPr>
            </w:pPr>
          </w:p>
          <w:p w:rsidR="008026FF" w:rsidRPr="00921E1F" w:rsidRDefault="008026F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56D0B">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2B1952" w:rsidRDefault="00CA75B4" w:rsidP="002B1952">
      <w:pPr>
        <w:pStyle w:val="15"/>
        <w:spacing w:before="0" w:after="0"/>
        <w:jc w:val="center"/>
        <w:rPr>
          <w:rFonts w:ascii="Times New Roman" w:hAnsi="Times New Roman" w:cs="Times New Roman"/>
        </w:rPr>
      </w:pPr>
      <w:r w:rsidRPr="00CA75B4">
        <w:rPr>
          <w:rFonts w:ascii="Times New Roman" w:hAnsi="Times New Roman" w:cs="Times New Roman"/>
          <w:b/>
        </w:rPr>
        <w:t>на поставку запорной арматуры</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w:t>
      </w:r>
      <w:r w:rsidR="008026FF">
        <w:t>Заместитель начальника отдела снабжения</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rsidR="008026FF">
        <w:t>Е.В. Гордеева</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0B105B">
            <w:pPr>
              <w:widowControl w:val="0"/>
              <w:suppressAutoHyphens/>
              <w:autoSpaceDE w:val="0"/>
              <w:jc w:val="center"/>
              <w:rPr>
                <w:lang w:eastAsia="zh-CN"/>
              </w:rPr>
            </w:pPr>
            <w:r>
              <w:rPr>
                <w:lang w:eastAsia="zh-CN"/>
              </w:rPr>
              <w:t>3</w:t>
            </w:r>
            <w:r w:rsidR="00EE0AA0">
              <w:rPr>
                <w:lang w:eastAsia="zh-CN"/>
              </w:rPr>
              <w:t>5</w:t>
            </w:r>
            <w:r>
              <w:rPr>
                <w:lang w:eastAsia="zh-CN"/>
              </w:rPr>
              <w:t>-</w:t>
            </w:r>
            <w:r w:rsidR="00071FF5">
              <w:rPr>
                <w:lang w:eastAsia="zh-CN"/>
              </w:rPr>
              <w:t>3</w:t>
            </w:r>
            <w:r w:rsidR="000B105B">
              <w:rPr>
                <w:lang w:eastAsia="zh-CN"/>
              </w:rPr>
              <w:t>9</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B105B" w:rsidP="0017659A">
            <w:pPr>
              <w:widowControl w:val="0"/>
              <w:suppressAutoHyphens/>
              <w:autoSpaceDE w:val="0"/>
              <w:jc w:val="center"/>
              <w:rPr>
                <w:lang w:eastAsia="zh-CN"/>
              </w:rPr>
            </w:pPr>
            <w:r>
              <w:rPr>
                <w:lang w:eastAsia="zh-CN"/>
              </w:rPr>
              <w:t>40</w:t>
            </w:r>
            <w:r w:rsidR="004A4199">
              <w:rPr>
                <w:lang w:eastAsia="zh-CN"/>
              </w:rPr>
              <w:t>-</w:t>
            </w:r>
            <w:r w:rsidR="00071FF5">
              <w:rPr>
                <w:lang w:eastAsia="zh-CN"/>
              </w:rPr>
              <w:t>4</w:t>
            </w:r>
            <w:r>
              <w:rPr>
                <w:lang w:eastAsia="zh-CN"/>
              </w:rPr>
              <w:t>7</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0B105B" w:rsidP="00EE4D0D">
            <w:pPr>
              <w:widowControl w:val="0"/>
              <w:suppressAutoHyphens/>
              <w:autoSpaceDE w:val="0"/>
              <w:jc w:val="center"/>
              <w:rPr>
                <w:lang w:eastAsia="zh-CN"/>
              </w:rPr>
            </w:pPr>
            <w:r>
              <w:rPr>
                <w:lang w:eastAsia="zh-CN"/>
              </w:rPr>
              <w:t>48</w:t>
            </w:r>
            <w:r w:rsidR="008A7580">
              <w:rPr>
                <w:lang w:eastAsia="zh-CN"/>
              </w:rPr>
              <w:t>-</w:t>
            </w:r>
            <w:r>
              <w:rPr>
                <w:lang w:eastAsia="zh-CN"/>
              </w:rPr>
              <w:t>51</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8"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9"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0"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1"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161340" w:rsidP="00F24413">
            <w:pPr>
              <w:ind w:firstLine="567"/>
              <w:jc w:val="both"/>
            </w:pPr>
            <w:hyperlink r:id="rId12"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3"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CF4E5A">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CF4E5A">
              <w:rPr>
                <w:bCs/>
              </w:rPr>
              <w:t>Заместитель н</w:t>
            </w:r>
            <w:r w:rsidR="00704811" w:rsidRPr="00704811">
              <w:t>ачальник</w:t>
            </w:r>
            <w:r w:rsidR="00CF4E5A">
              <w:t>а</w:t>
            </w:r>
            <w:r w:rsidR="00704811" w:rsidRPr="00704811">
              <w:t xml:space="preserve"> </w:t>
            </w:r>
            <w:r w:rsidR="002B6C41">
              <w:t xml:space="preserve">отдела </w:t>
            </w:r>
            <w:r w:rsidR="002B1952">
              <w:t>СЭКУ и ГО</w:t>
            </w:r>
            <w:r w:rsidR="002B6C41">
              <w:t xml:space="preserve"> </w:t>
            </w:r>
            <w:r w:rsidR="00CF4E5A">
              <w:t>Калетник Вадим Геннадьевич</w:t>
            </w:r>
            <w:r w:rsidR="002B6C41">
              <w:t xml:space="preserve"> тел. 8-902-814-</w:t>
            </w:r>
            <w:r w:rsidR="00CF4E5A">
              <w:t>54</w:t>
            </w:r>
            <w:r w:rsidR="00704811" w:rsidRPr="00704811">
              <w:t>-</w:t>
            </w:r>
            <w:r w:rsidR="00CF4E5A">
              <w:t>37</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4"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5"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6"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8026FF">
            <w:r w:rsidRPr="00071FB8">
              <w:t>«</w:t>
            </w:r>
            <w:r w:rsidR="008026FF">
              <w:t>05</w:t>
            </w:r>
            <w:r w:rsidR="00572570" w:rsidRPr="00071FB8">
              <w:t>»</w:t>
            </w:r>
            <w:r w:rsidR="001D190A" w:rsidRPr="00071FB8">
              <w:t xml:space="preserve"> </w:t>
            </w:r>
            <w:r w:rsidR="008026FF">
              <w:t>июл</w:t>
            </w:r>
            <w:r w:rsidR="00CF4E5A">
              <w:t>я</w:t>
            </w:r>
            <w:r w:rsidRPr="00071FB8">
              <w:t xml:space="preserve"> 20</w:t>
            </w:r>
            <w:r w:rsidR="001F23B4" w:rsidRPr="00071FB8">
              <w:t>2</w:t>
            </w:r>
            <w:r w:rsidR="002B1952">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7"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F63712">
              <w:t>12</w:t>
            </w:r>
            <w:r w:rsidRPr="00071FB8">
              <w:t xml:space="preserve">» </w:t>
            </w:r>
            <w:r w:rsidR="00CF4E5A">
              <w:t>ию</w:t>
            </w:r>
            <w:r w:rsidR="00F63712">
              <w:t>л</w:t>
            </w:r>
            <w:r w:rsidR="00CF4E5A">
              <w:t>я</w:t>
            </w:r>
            <w:r w:rsidR="000D39CD" w:rsidRPr="00071FB8">
              <w:t xml:space="preserve"> </w:t>
            </w:r>
            <w:r w:rsidRPr="00071FB8">
              <w:t>20</w:t>
            </w:r>
            <w:r w:rsidR="001F23B4" w:rsidRPr="00071FB8">
              <w:t>2</w:t>
            </w:r>
            <w:r w:rsidR="002B1952">
              <w:t>4</w:t>
            </w:r>
            <w:r w:rsidRPr="00071FB8">
              <w:t xml:space="preserve"> года </w:t>
            </w:r>
            <w:r w:rsidR="001F23B4" w:rsidRPr="00071FB8">
              <w:t>0</w:t>
            </w:r>
            <w:r w:rsidR="005846BC">
              <w:t>8</w:t>
            </w:r>
            <w:r w:rsidRPr="00071FB8">
              <w:t>:</w:t>
            </w:r>
            <w:r w:rsidR="005846BC">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F63712">
              <w:t>12</w:t>
            </w:r>
            <w:r w:rsidRPr="00071FB8">
              <w:t>»</w:t>
            </w:r>
            <w:r w:rsidR="008A1E96" w:rsidRPr="00071FB8">
              <w:t xml:space="preserve"> </w:t>
            </w:r>
            <w:r w:rsidR="00F63712">
              <w:t>июл</w:t>
            </w:r>
            <w:r w:rsidR="00CF4E5A">
              <w:t>я</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B74F75" w:rsidRPr="00071FB8">
              <w:t>0</w:t>
            </w:r>
            <w:r w:rsidR="005846BC">
              <w:t>8</w:t>
            </w:r>
            <w:r w:rsidR="004402C9" w:rsidRPr="00071FB8">
              <w:t>:</w:t>
            </w:r>
            <w:r w:rsidR="005846BC">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F63712">
              <w:t>15</w:t>
            </w:r>
            <w:r w:rsidR="00C919B0" w:rsidRPr="002B6C41">
              <w:t xml:space="preserve">» </w:t>
            </w:r>
            <w:r w:rsidR="00F63712">
              <w:t>июл</w:t>
            </w:r>
            <w:r w:rsidR="005846BC">
              <w:t>я</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1F23B4" w:rsidRPr="002B6C41">
              <w:t>0</w:t>
            </w:r>
            <w:r w:rsidR="005846BC">
              <w:t>8</w:t>
            </w:r>
            <w:r w:rsidR="00322429" w:rsidRPr="002B6C41">
              <w:t>:</w:t>
            </w:r>
            <w:r w:rsidR="005846BC">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F63712">
              <w:rPr>
                <w:b/>
              </w:rPr>
              <w:t>12</w:t>
            </w:r>
            <w:r w:rsidRPr="00071FB8">
              <w:rPr>
                <w:b/>
              </w:rPr>
              <w:t xml:space="preserve">» </w:t>
            </w:r>
            <w:r w:rsidR="00F63712">
              <w:rPr>
                <w:b/>
              </w:rPr>
              <w:t>июл</w:t>
            </w:r>
            <w:r w:rsidR="00F90318">
              <w:rPr>
                <w:b/>
              </w:rPr>
              <w:t>я</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C2056E" w:rsidRPr="00071FB8">
              <w:rPr>
                <w:b/>
              </w:rPr>
              <w:t>0</w:t>
            </w:r>
            <w:r w:rsidR="005846BC">
              <w:rPr>
                <w:b/>
              </w:rPr>
              <w:t>8</w:t>
            </w:r>
            <w:r w:rsidR="00B74F75" w:rsidRPr="00071FB8">
              <w:rPr>
                <w:b/>
              </w:rPr>
              <w:t>:</w:t>
            </w:r>
            <w:r w:rsidR="005846BC">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F63712" w:rsidRPr="00F63712">
              <w:rPr>
                <w:b/>
                <w:bCs/>
                <w:iCs/>
                <w:u w:val="single"/>
              </w:rPr>
              <w:t>на поставку запорной арматуры</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F63712" w:rsidRPr="00F63712">
              <w:rPr>
                <w:rFonts w:eastAsia="Times New Roman"/>
                <w:b/>
                <w:kern w:val="1"/>
                <w:u w:val="single"/>
                <w:lang w:eastAsia="zh-CN" w:bidi="hi-IN"/>
              </w:rPr>
              <w:t>запорной арматуры</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w:t>
            </w:r>
            <w:r w:rsidR="00690797" w:rsidRPr="002B6C41">
              <w:lastRenderedPageBreak/>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w:t>
            </w:r>
            <w:r w:rsidR="00AF6109" w:rsidRPr="002B6C41">
              <w:lastRenderedPageBreak/>
              <w:t>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F63712">
              <w:rPr>
                <w:b/>
                <w:bCs/>
                <w:u w:val="single"/>
              </w:rPr>
              <w:t>721 928</w:t>
            </w:r>
            <w:r w:rsidR="00480F64">
              <w:rPr>
                <w:b/>
                <w:bCs/>
                <w:u w:val="single"/>
              </w:rPr>
              <w:t xml:space="preserve"> </w:t>
            </w:r>
            <w:r w:rsidR="00453BB7" w:rsidRPr="00453BB7">
              <w:rPr>
                <w:b/>
                <w:bCs/>
                <w:u w:val="single"/>
              </w:rPr>
              <w:t>(</w:t>
            </w:r>
            <w:r w:rsidR="00F63712">
              <w:rPr>
                <w:b/>
                <w:bCs/>
                <w:u w:val="single"/>
              </w:rPr>
              <w:t>семьсот двадцать одна тысяча девятьсот двадцать восемь) рублей</w:t>
            </w:r>
            <w:r w:rsidR="004B7FD8">
              <w:rPr>
                <w:b/>
                <w:bCs/>
                <w:u w:val="single"/>
              </w:rPr>
              <w:t xml:space="preserve"> </w:t>
            </w:r>
            <w:r w:rsidR="00F63712">
              <w:rPr>
                <w:b/>
                <w:bCs/>
                <w:u w:val="single"/>
              </w:rPr>
              <w:t>33</w:t>
            </w:r>
            <w:r w:rsidR="00453BB7" w:rsidRPr="00453BB7">
              <w:rPr>
                <w:b/>
                <w:bCs/>
                <w:u w:val="single"/>
              </w:rPr>
              <w:t xml:space="preserve"> копе</w:t>
            </w:r>
            <w:r w:rsidR="00F63712">
              <w:rPr>
                <w:b/>
                <w:bCs/>
                <w:u w:val="single"/>
              </w:rPr>
              <w:t>йки</w:t>
            </w:r>
            <w:r w:rsidR="00453BB7" w:rsidRPr="00453BB7">
              <w:rPr>
                <w:b/>
                <w:bCs/>
                <w:u w:val="single"/>
              </w:rPr>
              <w:t>.</w:t>
            </w:r>
          </w:p>
          <w:p w:rsidR="008C21EB" w:rsidRDefault="00CF4E5A"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w:t>
            </w:r>
            <w:r w:rsidRPr="00FA148C">
              <w:lastRenderedPageBreak/>
              <w:t>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w:t>
                  </w:r>
                  <w:r w:rsidR="0030466A" w:rsidRPr="00FA148C">
                    <w:rPr>
                      <w:rFonts w:cs="Arial"/>
                      <w:color w:val="000000"/>
                    </w:rPr>
                    <w:lastRenderedPageBreak/>
                    <w:t>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w:t>
                  </w:r>
                  <w:r w:rsidR="00BB7E38"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r w:rsidR="0030466A" w:rsidRPr="00FA148C">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 xml:space="preserve">Неприостановление деятельности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w:t>
                  </w:r>
                  <w:r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30466A" w:rsidRPr="00FA148C">
                    <w:rPr>
                      <w:rFonts w:cs="Arial"/>
                      <w:color w:val="000000"/>
                    </w:rPr>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w:t>
                  </w:r>
                  <w:r w:rsidR="0030466A" w:rsidRPr="00FA148C">
                    <w:rPr>
                      <w:rFonts w:cs="Arial"/>
                      <w:color w:val="000000"/>
                    </w:rPr>
                    <w:lastRenderedPageBreak/>
                    <w:t>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CF4E5A">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F63712" w:rsidRDefault="00F63712" w:rsidP="00F63712">
            <w:pPr>
              <w:jc w:val="both"/>
            </w:pPr>
            <w: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 ул. Чехова, 81.</w:t>
            </w:r>
          </w:p>
          <w:p w:rsidR="00F63712" w:rsidRDefault="00F63712" w:rsidP="00F63712">
            <w:pPr>
              <w:jc w:val="both"/>
            </w:pPr>
            <w:r>
              <w:t>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F63712" w:rsidRDefault="00F63712" w:rsidP="00F63712">
            <w:pPr>
              <w:jc w:val="both"/>
            </w:pPr>
            <w:r>
              <w:t>Поставка Товара, перечисленного в настоящем Техническом задании, осуществляется в срок 10 (десять) календарных дней (с правом досрочной поставки) с момента подписания договора.</w:t>
            </w:r>
          </w:p>
          <w:p w:rsidR="00497F23" w:rsidRPr="00F84878" w:rsidRDefault="00497F23" w:rsidP="00CF4E5A">
            <w:pPr>
              <w:widowControl w:val="0"/>
              <w:suppressAutoHyphens/>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w:t>
            </w:r>
            <w:r w:rsidR="0047678C" w:rsidRPr="00EE0AA0">
              <w:rPr>
                <w:bCs/>
              </w:rPr>
              <w:lastRenderedPageBreak/>
              <w:t>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F63712" w:rsidP="00F63712">
            <w:pPr>
              <w:widowControl w:val="0"/>
              <w:tabs>
                <w:tab w:val="left" w:pos="567"/>
              </w:tabs>
              <w:suppressAutoHyphens/>
              <w:jc w:val="both"/>
              <w:rPr>
                <w:rFonts w:cs="Times New Roman CYR"/>
              </w:rPr>
            </w:pPr>
            <w:r w:rsidRPr="00F63712">
              <w:rPr>
                <w:rFonts w:eastAsia="Arial"/>
                <w:kern w:val="1"/>
                <w:lang w:bidi="hi-IN"/>
              </w:rPr>
              <w:t xml:space="preserve">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счет-фактуры </w:t>
            </w:r>
            <w:r w:rsidRPr="00F63712">
              <w:rPr>
                <w:rFonts w:eastAsia="Arial" w:cs="Mangal"/>
                <w:i/>
                <w:kern w:val="1"/>
                <w:lang w:bidi="hi-IN"/>
              </w:rPr>
              <w:t>(счёта, в случае, если участник размещения заказа имеет право на освобождение от уплаты НДС)</w:t>
            </w:r>
            <w:r w:rsidRPr="00F63712">
              <w:rPr>
                <w:rFonts w:eastAsia="Arial"/>
                <w:kern w:val="1"/>
                <w:lang w:bidi="hi-IN"/>
              </w:rPr>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rPr>
      </w:pPr>
      <w:r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340" w:rsidRDefault="00161340" w:rsidP="00C919B0">
      <w:r>
        <w:separator/>
      </w:r>
    </w:p>
  </w:endnote>
  <w:endnote w:type="continuationSeparator" w:id="0">
    <w:p w:rsidR="00161340" w:rsidRDefault="00161340"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084504"/>
      <w:docPartObj>
        <w:docPartGallery w:val="Page Numbers (Bottom of Page)"/>
        <w:docPartUnique/>
      </w:docPartObj>
    </w:sdtPr>
    <w:sdtEndPr/>
    <w:sdtContent>
      <w:p w:rsidR="00256D0B" w:rsidRDefault="00256D0B">
        <w:pPr>
          <w:pStyle w:val="a7"/>
          <w:jc w:val="right"/>
        </w:pPr>
        <w:r>
          <w:fldChar w:fldCharType="begin"/>
        </w:r>
        <w:r>
          <w:instrText>PAGE   \* MERGEFORMAT</w:instrText>
        </w:r>
        <w:r>
          <w:fldChar w:fldCharType="separate"/>
        </w:r>
        <w:r w:rsidR="00C911A7">
          <w:rPr>
            <w:noProof/>
          </w:rPr>
          <w:t>2</w:t>
        </w:r>
        <w:r>
          <w:fldChar w:fldCharType="end"/>
        </w:r>
      </w:p>
    </w:sdtContent>
  </w:sdt>
  <w:p w:rsidR="00256D0B" w:rsidRDefault="00256D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340" w:rsidRDefault="00161340" w:rsidP="00C919B0">
      <w:r>
        <w:separator/>
      </w:r>
    </w:p>
  </w:footnote>
  <w:footnote w:type="continuationSeparator" w:id="0">
    <w:p w:rsidR="00161340" w:rsidRDefault="00161340"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105B"/>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4AB8"/>
    <w:rsid w:val="00161340"/>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53068"/>
    <w:rsid w:val="00256D0B"/>
    <w:rsid w:val="00262748"/>
    <w:rsid w:val="00263363"/>
    <w:rsid w:val="002709D9"/>
    <w:rsid w:val="0027263A"/>
    <w:rsid w:val="00272E0E"/>
    <w:rsid w:val="002742FF"/>
    <w:rsid w:val="00275132"/>
    <w:rsid w:val="002939C9"/>
    <w:rsid w:val="00297EDE"/>
    <w:rsid w:val="002B1952"/>
    <w:rsid w:val="002B6C41"/>
    <w:rsid w:val="002B7D9E"/>
    <w:rsid w:val="002C370C"/>
    <w:rsid w:val="002C5625"/>
    <w:rsid w:val="002C682F"/>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781E"/>
    <w:rsid w:val="006019F1"/>
    <w:rsid w:val="00601C51"/>
    <w:rsid w:val="006071EF"/>
    <w:rsid w:val="00612183"/>
    <w:rsid w:val="00614867"/>
    <w:rsid w:val="00616194"/>
    <w:rsid w:val="006163E4"/>
    <w:rsid w:val="00626E07"/>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755B"/>
    <w:rsid w:val="007F0064"/>
    <w:rsid w:val="007F442D"/>
    <w:rsid w:val="007F4C08"/>
    <w:rsid w:val="007F57DC"/>
    <w:rsid w:val="007F72F1"/>
    <w:rsid w:val="007F7896"/>
    <w:rsid w:val="00801601"/>
    <w:rsid w:val="008026FF"/>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1823"/>
    <w:rsid w:val="00864167"/>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4233"/>
    <w:rsid w:val="00C0596E"/>
    <w:rsid w:val="00C128EB"/>
    <w:rsid w:val="00C2056E"/>
    <w:rsid w:val="00C20668"/>
    <w:rsid w:val="00C4410B"/>
    <w:rsid w:val="00C467E9"/>
    <w:rsid w:val="00C673F0"/>
    <w:rsid w:val="00C73CA5"/>
    <w:rsid w:val="00C7406D"/>
    <w:rsid w:val="00C76707"/>
    <w:rsid w:val="00C77572"/>
    <w:rsid w:val="00C83CFD"/>
    <w:rsid w:val="00C86CC1"/>
    <w:rsid w:val="00C911A7"/>
    <w:rsid w:val="00C919B0"/>
    <w:rsid w:val="00C9539C"/>
    <w:rsid w:val="00C95EC3"/>
    <w:rsid w:val="00C975D1"/>
    <w:rsid w:val="00CA22D3"/>
    <w:rsid w:val="00CA31FE"/>
    <w:rsid w:val="00CA3EFE"/>
    <w:rsid w:val="00CA74CA"/>
    <w:rsid w:val="00CA75B4"/>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CF4E5A"/>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4D0D"/>
    <w:rsid w:val="00EE6A15"/>
    <w:rsid w:val="00EF3617"/>
    <w:rsid w:val="00EF7FDE"/>
    <w:rsid w:val="00F025EE"/>
    <w:rsid w:val="00F033FE"/>
    <w:rsid w:val="00F062D5"/>
    <w:rsid w:val="00F077FA"/>
    <w:rsid w:val="00F10AC8"/>
    <w:rsid w:val="00F11FF4"/>
    <w:rsid w:val="00F21005"/>
    <w:rsid w:val="00F22FF7"/>
    <w:rsid w:val="00F24413"/>
    <w:rsid w:val="00F312D4"/>
    <w:rsid w:val="00F40D76"/>
    <w:rsid w:val="00F43791"/>
    <w:rsid w:val="00F54AA5"/>
    <w:rsid w:val="00F54EA0"/>
    <w:rsid w:val="00F565F9"/>
    <w:rsid w:val="00F56AEB"/>
    <w:rsid w:val="00F574DD"/>
    <w:rsid w:val="00F60969"/>
    <w:rsid w:val="00F61C76"/>
    <w:rsid w:val="00F63712"/>
    <w:rsid w:val="00F64C82"/>
    <w:rsid w:val="00F653C4"/>
    <w:rsid w:val="00F67F12"/>
    <w:rsid w:val="00F75643"/>
    <w:rsid w:val="00F8112D"/>
    <w:rsid w:val="00F81DD9"/>
    <w:rsid w:val="00F85031"/>
    <w:rsid w:val="00F90318"/>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EDE50-67CC-4EAA-B263-00D169DD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uts-hm.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index.php" TargetMode="External"/><Relationship Id="rId5" Type="http://schemas.openxmlformats.org/officeDocument/2006/relationships/webSettings" Target="webSettings.xml"/><Relationship Id="rId15" Type="http://schemas.openxmlformats.org/officeDocument/2006/relationships/hyperlink" Target="https://www.tektorg.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info_docs/docs/index.php"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8794B-36F6-47B0-9A5E-51C3C418D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35</Pages>
  <Words>10803</Words>
  <Characters>61578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Гордеева Елена Викторовна</cp:lastModifiedBy>
  <cp:revision>6</cp:revision>
  <cp:lastPrinted>2024-06-18T09:47:00Z</cp:lastPrinted>
  <dcterms:created xsi:type="dcterms:W3CDTF">2024-06-18T09:35:00Z</dcterms:created>
  <dcterms:modified xsi:type="dcterms:W3CDTF">2024-07-04T07:59:00Z</dcterms:modified>
</cp:coreProperties>
</file>